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Times New Roman" w:eastAsia="彩虹小标宋" w:cs="Times New Roman"/>
          <w:bCs/>
          <w:sz w:val="44"/>
          <w:szCs w:val="44"/>
        </w:rPr>
      </w:pPr>
      <w:r>
        <w:rPr>
          <w:rFonts w:ascii="彩虹小标宋" w:hAnsi="Times New Roman" w:eastAsia="彩虹小标宋" w:cs="Times New Roman"/>
          <w:bCs/>
          <w:sz w:val="44"/>
          <w:szCs w:val="44"/>
        </w:rPr>
        <w:t>2026-2027</w:t>
      </w:r>
      <w:r>
        <w:rPr>
          <w:rFonts w:hint="eastAsia" w:ascii="彩虹小标宋" w:hAnsi="Times New Roman" w:eastAsia="彩虹小标宋" w:cs="Times New Roman"/>
          <w:bCs/>
          <w:sz w:val="44"/>
          <w:szCs w:val="44"/>
        </w:rPr>
        <w:t>年度电子宣传展示设备</w:t>
      </w:r>
    </w:p>
    <w:p>
      <w:pPr>
        <w:spacing w:line="360" w:lineRule="auto"/>
        <w:jc w:val="center"/>
        <w:rPr>
          <w:rFonts w:ascii="彩虹小标宋" w:hAnsi="宋体" w:eastAsia="彩虹小标宋"/>
          <w:snapToGrid w:val="0"/>
          <w:kern w:val="0"/>
          <w:sz w:val="44"/>
          <w:szCs w:val="44"/>
        </w:rPr>
      </w:pPr>
      <w:r>
        <w:rPr>
          <w:rFonts w:hint="eastAsia" w:ascii="彩虹小标宋" w:hAnsi="Times New Roman" w:eastAsia="彩虹小标宋" w:cs="Times New Roman"/>
          <w:bCs/>
          <w:sz w:val="44"/>
          <w:szCs w:val="44"/>
        </w:rPr>
        <w:t>维保服务</w:t>
      </w:r>
      <w:r>
        <w:rPr>
          <w:rFonts w:hint="eastAsia" w:ascii="彩虹小标宋" w:hAnsi="宋体" w:eastAsia="彩虹小标宋"/>
          <w:snapToGrid w:val="0"/>
          <w:kern w:val="0"/>
          <w:sz w:val="44"/>
          <w:szCs w:val="44"/>
        </w:rPr>
        <w:t>采购需求</w:t>
      </w:r>
    </w:p>
    <w:p>
      <w:pPr>
        <w:spacing w:line="360" w:lineRule="auto"/>
        <w:jc w:val="center"/>
        <w:rPr>
          <w:rFonts w:ascii="彩虹小标宋" w:hAnsi="宋体" w:eastAsia="彩虹小标宋"/>
          <w:snapToGrid w:val="0"/>
          <w:kern w:val="0"/>
          <w:sz w:val="44"/>
          <w:szCs w:val="44"/>
        </w:rPr>
      </w:pPr>
    </w:p>
    <w:p>
      <w:pPr>
        <w:numPr>
          <w:ilvl w:val="0"/>
          <w:numId w:val="1"/>
        </w:numPr>
        <w:ind w:firstLine="642" w:firstLineChars="200"/>
        <w:rPr>
          <w:rFonts w:ascii="彩虹粗仿宋" w:hAnsi="彩虹粗仿宋" w:eastAsia="彩虹粗仿宋" w:cs="彩虹粗仿宋"/>
          <w:b/>
          <w:bCs/>
          <w:sz w:val="32"/>
          <w:szCs w:val="32"/>
        </w:rPr>
      </w:pPr>
      <w:r>
        <w:rPr>
          <w:rFonts w:hint="eastAsia" w:ascii="彩虹粗仿宋" w:hAnsi="彩虹粗仿宋" w:eastAsia="彩虹粗仿宋" w:cs="彩虹粗仿宋"/>
          <w:b/>
          <w:bCs/>
          <w:sz w:val="32"/>
          <w:szCs w:val="32"/>
        </w:rPr>
        <w:t>供应商要求</w:t>
      </w:r>
    </w:p>
    <w:p>
      <w:pPr>
        <w:spacing w:line="560" w:lineRule="exact"/>
        <w:ind w:firstLine="639" w:firstLineChars="213"/>
        <w:rPr>
          <w:rFonts w:ascii="彩虹粗仿宋" w:hAnsi="宋体" w:eastAsia="彩虹粗仿宋"/>
          <w:color w:val="000000" w:themeColor="text1"/>
          <w:sz w:val="30"/>
          <w:szCs w:val="30"/>
          <w14:textFill>
            <w14:solidFill>
              <w14:schemeClr w14:val="tx1"/>
            </w14:solidFill>
          </w14:textFill>
        </w:rPr>
      </w:pPr>
      <w:r>
        <w:rPr>
          <w:rFonts w:hint="eastAsia" w:ascii="彩虹粗仿宋" w:hAnsi="宋体" w:eastAsia="彩虹粗仿宋"/>
          <w:color w:val="000000" w:themeColor="text1"/>
          <w:sz w:val="30"/>
          <w:szCs w:val="30"/>
          <w14:textFill>
            <w14:solidFill>
              <w14:schemeClr w14:val="tx1"/>
            </w14:solidFill>
          </w14:textFill>
        </w:rPr>
        <w:t>1.供应商应为中华人民共和国境内注册的独立</w:t>
      </w:r>
      <w:bookmarkStart w:id="0" w:name="_GoBack"/>
      <w:bookmarkEnd w:id="0"/>
      <w:r>
        <w:rPr>
          <w:rFonts w:hint="eastAsia" w:ascii="彩虹粗仿宋" w:hAnsi="宋体" w:eastAsia="彩虹粗仿宋"/>
          <w:color w:val="000000" w:themeColor="text1"/>
          <w:sz w:val="30"/>
          <w:szCs w:val="30"/>
          <w14:textFill>
            <w14:solidFill>
              <w14:schemeClr w14:val="tx1"/>
            </w14:solidFill>
          </w14:textFill>
        </w:rPr>
        <w:t>法人，具有独立承担民事责任的能力。</w:t>
      </w:r>
    </w:p>
    <w:p>
      <w:pPr>
        <w:spacing w:line="560" w:lineRule="exact"/>
        <w:ind w:firstLine="639" w:firstLineChars="213"/>
        <w:rPr>
          <w:rFonts w:ascii="彩虹粗仿宋" w:hAnsi="宋体" w:eastAsia="彩虹粗仿宋"/>
          <w:color w:val="000000" w:themeColor="text1"/>
          <w:sz w:val="30"/>
          <w:szCs w:val="30"/>
          <w14:textFill>
            <w14:solidFill>
              <w14:schemeClr w14:val="tx1"/>
            </w14:solidFill>
          </w14:textFill>
        </w:rPr>
      </w:pPr>
      <w:r>
        <w:rPr>
          <w:rFonts w:ascii="彩虹粗仿宋" w:hAnsi="宋体" w:eastAsia="彩虹粗仿宋"/>
          <w:color w:val="000000" w:themeColor="text1"/>
          <w:sz w:val="30"/>
          <w:szCs w:val="30"/>
          <w14:textFill>
            <w14:solidFill>
              <w14:schemeClr w14:val="tx1"/>
            </w14:solidFill>
          </w14:textFill>
        </w:rPr>
        <w:t>2</w:t>
      </w:r>
      <w:r>
        <w:rPr>
          <w:rFonts w:hint="eastAsia" w:ascii="彩虹粗仿宋" w:hAnsi="宋体" w:eastAsia="彩虹粗仿宋"/>
          <w:color w:val="000000" w:themeColor="text1"/>
          <w:sz w:val="30"/>
          <w:szCs w:val="30"/>
          <w14:textFill>
            <w14:solidFill>
              <w14:schemeClr w14:val="tx1"/>
            </w14:solidFill>
          </w14:textFill>
        </w:rPr>
        <w:t>.在经营活动中无重大不良记录。</w:t>
      </w:r>
    </w:p>
    <w:p>
      <w:pPr>
        <w:spacing w:line="560" w:lineRule="exact"/>
        <w:ind w:firstLine="639" w:firstLineChars="213"/>
        <w:rPr>
          <w:rFonts w:ascii="彩虹粗仿宋" w:hAnsi="宋体" w:eastAsia="彩虹粗仿宋"/>
          <w:color w:val="000000" w:themeColor="text1"/>
          <w:sz w:val="30"/>
          <w:szCs w:val="30"/>
          <w14:textFill>
            <w14:solidFill>
              <w14:schemeClr w14:val="tx1"/>
            </w14:solidFill>
          </w14:textFill>
        </w:rPr>
      </w:pPr>
      <w:r>
        <w:rPr>
          <w:rFonts w:ascii="彩虹粗仿宋" w:hAnsi="宋体" w:eastAsia="彩虹粗仿宋"/>
          <w:color w:val="000000" w:themeColor="text1"/>
          <w:sz w:val="30"/>
          <w:szCs w:val="30"/>
          <w14:textFill>
            <w14:solidFill>
              <w14:schemeClr w14:val="tx1"/>
            </w14:solidFill>
          </w14:textFill>
        </w:rPr>
        <w:t>3</w:t>
      </w:r>
      <w:r>
        <w:rPr>
          <w:rFonts w:hint="eastAsia" w:ascii="彩虹粗仿宋" w:hAnsi="宋体" w:eastAsia="彩虹粗仿宋"/>
          <w:color w:val="000000" w:themeColor="text1"/>
          <w:sz w:val="30"/>
          <w:szCs w:val="30"/>
          <w14:textFill>
            <w14:solidFill>
              <w14:schemeClr w14:val="tx1"/>
            </w14:solidFill>
          </w14:textFill>
        </w:rPr>
        <w:t>.供应商应具有电器设备或电子产品销售或维护经营范围，且近五年内具备LED、LCD等电子屏维护案例。</w:t>
      </w:r>
    </w:p>
    <w:p>
      <w:pPr>
        <w:spacing w:line="560" w:lineRule="exact"/>
        <w:ind w:firstLine="639" w:firstLineChars="213"/>
        <w:rPr>
          <w:rFonts w:ascii="彩虹粗仿宋" w:hAnsi="宋体" w:eastAsia="彩虹粗仿宋"/>
          <w:color w:val="000000" w:themeColor="text1"/>
          <w:sz w:val="30"/>
          <w:szCs w:val="30"/>
          <w14:textFill>
            <w14:solidFill>
              <w14:schemeClr w14:val="tx1"/>
            </w14:solidFill>
          </w14:textFill>
        </w:rPr>
      </w:pPr>
      <w:r>
        <w:rPr>
          <w:rFonts w:ascii="彩虹粗仿宋" w:hAnsi="宋体" w:eastAsia="彩虹粗仿宋"/>
          <w:color w:val="000000" w:themeColor="text1"/>
          <w:sz w:val="30"/>
          <w:szCs w:val="30"/>
          <w14:textFill>
            <w14:solidFill>
              <w14:schemeClr w14:val="tx1"/>
            </w14:solidFill>
          </w14:textFill>
        </w:rPr>
        <w:t>4.</w:t>
      </w:r>
      <w:r>
        <w:rPr>
          <w:rFonts w:hint="eastAsia"/>
        </w:rPr>
        <w:t xml:space="preserve"> </w:t>
      </w:r>
      <w:r>
        <w:rPr>
          <w:rFonts w:hint="eastAsia" w:ascii="彩虹粗仿宋" w:hAnsi="宋体" w:eastAsia="彩虹粗仿宋"/>
          <w:color w:val="000000" w:themeColor="text1"/>
          <w:sz w:val="30"/>
          <w:szCs w:val="30"/>
          <w14:textFill>
            <w14:solidFill>
              <w14:schemeClr w14:val="tx1"/>
            </w14:solidFill>
          </w14:textFill>
        </w:rPr>
        <w:t>注册地在广西或者在广西有分支机构或办事处，提供租赁合同或产权证明。</w:t>
      </w:r>
    </w:p>
    <w:p>
      <w:pPr>
        <w:pStyle w:val="9"/>
        <w:numPr>
          <w:ilvl w:val="0"/>
          <w:numId w:val="1"/>
        </w:numPr>
        <w:spacing w:line="560" w:lineRule="exact"/>
        <w:ind w:left="1429" w:hanging="720" w:firstLineChars="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项目和服务期限</w:t>
      </w:r>
    </w:p>
    <w:p>
      <w:pPr>
        <w:spacing w:line="560" w:lineRule="exact"/>
        <w:ind w:firstLine="639" w:firstLineChars="213"/>
        <w:rPr>
          <w:rFonts w:ascii="彩虹粗仿宋" w:hAnsi="宋体" w:eastAsia="彩虹粗仿宋"/>
          <w:sz w:val="30"/>
          <w:szCs w:val="30"/>
        </w:rPr>
      </w:pPr>
      <w:r>
        <w:rPr>
          <w:rFonts w:hint="eastAsia" w:ascii="彩虹粗仿宋" w:hAnsi="宋体" w:eastAsia="彩虹粗仿宋"/>
          <w:sz w:val="30"/>
          <w:szCs w:val="30"/>
        </w:rPr>
        <w:t>本次项目为采购中国建设银行广西区分行电子宣传展示设备维保服务，服务期限1年。维修类型如下：</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94"/>
        <w:gridCol w:w="854"/>
        <w:gridCol w:w="624"/>
        <w:gridCol w:w="53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维保类型</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预估数量</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单位</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参考参数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更换P10单红LED门楣屏模组</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600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单红320*160，点间距5mm、分辨率64*32、亮度1000cd/㎡、1/4扫、DC5V供电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更换P1.5全彩LED屏模组</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P1.5，点间距1.5mm、分辨率64*32、亮度1200cd/㎡、刷新率1920Hz、1/32扫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更换P1.8全彩LED模组</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P1.8，点间距1.8mm、分辨率64*32、亮度1200cd/㎡、刷新率1920Hz、1/32扫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更换P2.5全彩LED模组</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P2.5，点间距2.5mm、分辨率64*32、亮度1200cd/㎡、刷新率1920Hz、1/32扫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更换LED全彩屏接收卡</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支持分辨率1280*720、带载256*256像素、支持多卡级联、DC5V供电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更换LED全彩屏视频处理器</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个</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支持4K输入输出、多画面拼接、亮度/对比度调节、多信号源输入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更换控制主板X86</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支持Win10系统、4核CPU、4G内存、128G存储、丰富接口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更换控制电源</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300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个</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输出DC5V/40A、功率200W、输入AC100-240V、过流/过压/短路保护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更换逻辑控制板</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适配对应尺寸面板、支持LVDS信号输入、分辨率可调、DC12V供电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更换恒流板</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输出电流恒定、适配对应尺寸面板、过流/短路保护、DC12V供电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更换机械硬盘</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容量320G，SATA3.0接口、5400转/分、16M缓存、2.5英寸尺寸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更换SD存储卡</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容量4G，SDHC接口、读取速度10MB/s、写入速度4MB/s、工作温度-25℃~85℃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更换内存</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容量2G，DDR3接口、频率1333MHz、容量2G、工作电压1.5V</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更换触摸控制器</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个</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支持多点触控、USB/RS232接口、响应时间&lt;10ms、支持Windows/安卓系统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更换触摸框</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个</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10点触控、响应时间&lt;8ms、透光率&gt;95%、USB接口、免驱安装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更换安装支架</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个</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壁挂或吊装，冷轧钢板材质、适配对应尺寸、壁挂/吊装通用、表面喷塑、可调节角度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更换门楣屏控制卡</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块</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支持单双色显示、带载1024*64像素、U盘/串口更新、DC5V供电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更换门楣屏开关电源</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个</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输出DC5V/20A、功率100W、输入AC100-240V、过流/短路保护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更换排线</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个</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16P线数、常规1米长度、铜芯材质、IDC接口、耐压300V</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149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上门维修人工费</w:t>
            </w:r>
          </w:p>
        </w:tc>
        <w:tc>
          <w:tcPr>
            <w:tcW w:w="85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800</w:t>
            </w:r>
          </w:p>
        </w:tc>
        <w:tc>
          <w:tcPr>
            <w:tcW w:w="624" w:type="dxa"/>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次</w:t>
            </w:r>
          </w:p>
        </w:tc>
        <w:tc>
          <w:tcPr>
            <w:tcW w:w="5324" w:type="dxa"/>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含上门检测、故障排查、软件安装调试、1人/次</w:t>
            </w:r>
          </w:p>
        </w:tc>
      </w:tr>
    </w:tbl>
    <w:p>
      <w:pPr>
        <w:widowControl/>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备注：供应商提供应提供相不差于参考参数的配件</w:t>
      </w:r>
    </w:p>
    <w:p>
      <w:pPr>
        <w:spacing w:line="560" w:lineRule="exact"/>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三、维保服务内容</w:t>
      </w:r>
    </w:p>
    <w:p>
      <w:pPr>
        <w:spacing w:line="560" w:lineRule="exact"/>
        <w:ind w:firstLine="600" w:firstLineChars="200"/>
        <w:rPr>
          <w:rFonts w:ascii="彩虹粗仿宋" w:hAnsi="Calibri" w:eastAsia="彩虹粗仿宋"/>
          <w:sz w:val="30"/>
          <w:szCs w:val="30"/>
        </w:rPr>
      </w:pPr>
      <w:r>
        <w:rPr>
          <w:rFonts w:hint="eastAsia" w:ascii="彩虹粗仿宋" w:hAnsi="Calibri" w:eastAsia="彩虹粗仿宋"/>
          <w:sz w:val="30"/>
          <w:szCs w:val="30"/>
        </w:rPr>
        <w:t>（一）设备故障处理和修复</w:t>
      </w:r>
    </w:p>
    <w:p>
      <w:pPr>
        <w:spacing w:line="560" w:lineRule="exact"/>
        <w:ind w:firstLine="600" w:firstLineChars="200"/>
        <w:rPr>
          <w:rFonts w:ascii="彩虹粗仿宋" w:hAnsi="Calibri" w:eastAsia="彩虹粗仿宋"/>
          <w:sz w:val="30"/>
          <w:szCs w:val="30"/>
        </w:rPr>
      </w:pPr>
      <w:r>
        <w:rPr>
          <w:rFonts w:hint="eastAsia" w:ascii="彩虹粗仿宋" w:hAnsi="Calibri" w:eastAsia="彩虹粗仿宋"/>
          <w:sz w:val="30"/>
          <w:szCs w:val="30"/>
        </w:rPr>
        <w:t>1.设备内部配件出现损坏时，对损坏配件进行更换及修复，按照人工费加配件更换费用方式进行结算，若更换配件的设备属于同一个网点的，则人工费只收取一次。新配件必须使用全新配件，新配件质保期不低于1年。</w:t>
      </w:r>
    </w:p>
    <w:p>
      <w:pPr>
        <w:spacing w:line="560" w:lineRule="exact"/>
        <w:ind w:firstLine="600" w:firstLineChars="200"/>
        <w:rPr>
          <w:rFonts w:ascii="彩虹粗仿宋" w:hAnsi="Calibri" w:eastAsia="彩虹粗仿宋"/>
          <w:sz w:val="30"/>
          <w:szCs w:val="30"/>
        </w:rPr>
      </w:pPr>
      <w:r>
        <w:rPr>
          <w:rFonts w:hint="eastAsia" w:ascii="彩虹粗仿宋" w:hAnsi="Calibri" w:eastAsia="彩虹粗仿宋"/>
          <w:sz w:val="30"/>
          <w:szCs w:val="30"/>
        </w:rPr>
        <w:t>2.设备出现系统或软件故障、错误等非硬件损坏等情况时，服务商派遣专业人员进行故障、错误等的排除和修复，使设备恢复正常运行状态，按照设备数量*人工费结算费用。</w:t>
      </w:r>
    </w:p>
    <w:p>
      <w:pPr>
        <w:spacing w:line="560" w:lineRule="exact"/>
        <w:ind w:firstLine="600" w:firstLineChars="200"/>
        <w:rPr>
          <w:rFonts w:ascii="彩虹粗仿宋" w:hAnsi="Calibri" w:eastAsia="彩虹粗仿宋"/>
          <w:sz w:val="30"/>
          <w:szCs w:val="30"/>
        </w:rPr>
      </w:pPr>
      <w:r>
        <w:rPr>
          <w:rFonts w:hint="eastAsia" w:ascii="彩虹粗仿宋" w:hAnsi="Calibri" w:eastAsia="彩虹粗仿宋"/>
          <w:sz w:val="30"/>
          <w:szCs w:val="30"/>
        </w:rPr>
        <w:t>（二）设备变更和系统改造的现场技术服务</w:t>
      </w:r>
    </w:p>
    <w:p>
      <w:pPr>
        <w:spacing w:line="560" w:lineRule="exact"/>
        <w:ind w:firstLine="600" w:firstLineChars="200"/>
        <w:rPr>
          <w:rFonts w:ascii="彩虹粗仿宋" w:hAnsi="Calibri" w:eastAsia="彩虹粗仿宋"/>
          <w:sz w:val="30"/>
          <w:szCs w:val="30"/>
        </w:rPr>
      </w:pPr>
      <w:r>
        <w:rPr>
          <w:rFonts w:hint="eastAsia" w:ascii="彩虹粗仿宋" w:hAnsi="Calibri" w:eastAsia="彩虹粗仿宋"/>
          <w:sz w:val="30"/>
          <w:szCs w:val="30"/>
        </w:rPr>
        <w:t>1.服务的设备发生迁移变更时，服务商派遣专业人员进行所需的电子安装调试、连通服务，协助进行物理安装服务。</w:t>
      </w:r>
    </w:p>
    <w:p>
      <w:pPr>
        <w:spacing w:line="560" w:lineRule="exact"/>
        <w:ind w:firstLine="600" w:firstLineChars="200"/>
        <w:rPr>
          <w:rFonts w:ascii="彩虹粗仿宋" w:hAnsi="Calibri" w:eastAsia="彩虹粗仿宋"/>
          <w:sz w:val="30"/>
          <w:szCs w:val="30"/>
        </w:rPr>
      </w:pPr>
      <w:r>
        <w:rPr>
          <w:rFonts w:hint="eastAsia" w:ascii="彩虹粗仿宋" w:hAnsi="Calibri" w:eastAsia="彩虹粗仿宋"/>
          <w:sz w:val="30"/>
          <w:szCs w:val="30"/>
        </w:rPr>
        <w:t>2.根据需要，服务商提供设备配置变更、微码升级、软件升级、系统参数调整等现场技术服务和制定故障恢复应急方案、进行应急方案演练等服务，配合我分行应用系统改造的需求提供、实施各种硬件解决方案，配合我分行进行设备的病毒防范工作。</w:t>
      </w:r>
    </w:p>
    <w:p>
      <w:pPr>
        <w:spacing w:line="560" w:lineRule="exact"/>
        <w:ind w:firstLine="600" w:firstLineChars="200"/>
        <w:rPr>
          <w:rFonts w:ascii="彩虹粗仿宋" w:hAnsi="Calibri" w:eastAsia="彩虹粗仿宋"/>
          <w:sz w:val="30"/>
          <w:szCs w:val="30"/>
        </w:rPr>
      </w:pPr>
      <w:r>
        <w:rPr>
          <w:rFonts w:hint="eastAsia" w:ascii="彩虹粗仿宋" w:hAnsi="Calibri" w:eastAsia="彩虹粗仿宋"/>
          <w:sz w:val="30"/>
          <w:szCs w:val="30"/>
        </w:rPr>
        <w:t>（三）技术咨询服务</w:t>
      </w:r>
    </w:p>
    <w:p>
      <w:pPr>
        <w:spacing w:line="560" w:lineRule="exact"/>
        <w:ind w:firstLine="600" w:firstLineChars="200"/>
        <w:rPr>
          <w:rFonts w:ascii="彩虹粗仿宋" w:hAnsi="Calibri" w:eastAsia="彩虹粗仿宋"/>
          <w:sz w:val="30"/>
          <w:szCs w:val="30"/>
        </w:rPr>
      </w:pPr>
      <w:r>
        <w:rPr>
          <w:rFonts w:hint="eastAsia" w:ascii="彩虹粗仿宋" w:hAnsi="Calibri" w:eastAsia="彩虹粗仿宋"/>
          <w:sz w:val="30"/>
          <w:szCs w:val="30"/>
        </w:rPr>
        <w:t>服务商提供24小时服务热线，为我行提供报故障和技术咨询。</w:t>
      </w:r>
    </w:p>
    <w:p>
      <w:pPr>
        <w:spacing w:line="560" w:lineRule="exact"/>
        <w:ind w:firstLine="602"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b/>
          <w:snapToGrid w:val="0"/>
          <w:kern w:val="0"/>
          <w:sz w:val="30"/>
          <w:szCs w:val="30"/>
        </w:rPr>
        <w:t>四、维保服务要求</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（一）技术维护人员具备维护排队机设备服务的经验；具备一定的电脑常识，包括计算机网络、计算机硬件及软件等方面；</w:t>
      </w:r>
      <w:r>
        <w:rPr>
          <w:rFonts w:hint="eastAsia" w:ascii="彩虹粗仿宋" w:hAnsi="Calibri" w:eastAsia="彩虹粗仿宋"/>
          <w:sz w:val="30"/>
          <w:szCs w:val="30"/>
        </w:rPr>
        <w:t>熟悉建行的跨平台软件系统及病毒防护系统。</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（二）服务响应时间（指到达现场并处理时间）我行要求一类地区（南宁、柳州、桂林）必须在2小时响应，二类地区（南宁、柳州、桂林以外区域）8小时响应。</w:t>
      </w:r>
    </w:p>
    <w:p>
      <w:pPr>
        <w:widowControl/>
        <w:spacing w:line="560" w:lineRule="exact"/>
        <w:ind w:firstLine="600" w:firstLineChars="200"/>
        <w:jc w:val="left"/>
        <w:rPr>
          <w:rFonts w:ascii="彩虹粗仿宋" w:hAnsi="宋体" w:eastAsia="彩虹粗仿宋"/>
          <w:sz w:val="30"/>
          <w:szCs w:val="30"/>
        </w:rPr>
      </w:pPr>
      <w:r>
        <w:rPr>
          <w:rFonts w:hint="eastAsia" w:ascii="彩虹粗仿宋" w:hAnsi="宋体" w:eastAsia="彩虹粗仿宋"/>
          <w:sz w:val="30"/>
          <w:szCs w:val="30"/>
        </w:rPr>
        <w:t>（三）供应商应确保维修的设备不允许支持U盘、WiFi等连接方式修改显示内容，不支持通过相关自研的手机 APP控制软件的情况。确保关闭LED门楣控制器不必要的远程连接、控制功能，开展日常安全加固，消除漏洞隐患，确保不发生网络安全事件</w:t>
      </w:r>
    </w:p>
    <w:p>
      <w:pPr>
        <w:widowControl/>
        <w:spacing w:line="560" w:lineRule="exact"/>
        <w:ind w:firstLine="600" w:firstLineChars="200"/>
        <w:jc w:val="left"/>
        <w:rPr>
          <w:rFonts w:ascii="彩虹粗仿宋" w:hAnsi="宋体" w:eastAsia="彩虹粗仿宋"/>
          <w:sz w:val="30"/>
          <w:szCs w:val="30"/>
        </w:rPr>
      </w:pPr>
      <w:r>
        <w:rPr>
          <w:rFonts w:hint="eastAsia" w:ascii="彩虹粗仿宋" w:hAnsi="宋体" w:eastAsia="彩虹粗仿宋"/>
          <w:sz w:val="30"/>
          <w:szCs w:val="30"/>
        </w:rPr>
        <w:t>（四）如评估单次维修费用超过其重新购置价值1/3的，则通知甲方进行设备更换，本次维修仅支付人工费用。</w:t>
      </w:r>
    </w:p>
    <w:p>
      <w:pPr>
        <w:widowControl/>
        <w:spacing w:line="560" w:lineRule="exact"/>
        <w:ind w:firstLine="600" w:firstLineChars="200"/>
        <w:jc w:val="left"/>
        <w:rPr>
          <w:rFonts w:ascii="彩虹粗仿宋" w:hAnsi="宋体" w:eastAsia="彩虹粗仿宋"/>
          <w:sz w:val="30"/>
          <w:szCs w:val="30"/>
        </w:rPr>
      </w:pPr>
      <w:r>
        <w:rPr>
          <w:rFonts w:hint="eastAsia" w:ascii="彩虹粗仿宋" w:hAnsi="宋体" w:eastAsia="彩虹粗仿宋"/>
          <w:sz w:val="30"/>
          <w:szCs w:val="30"/>
        </w:rPr>
        <w:t>（五）本项目不允许分包、转包，不接受联合体投标。</w:t>
      </w:r>
    </w:p>
    <w:p>
      <w:pPr>
        <w:spacing w:line="560" w:lineRule="exact"/>
        <w:ind w:firstLine="602"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b/>
          <w:snapToGrid w:val="0"/>
          <w:kern w:val="0"/>
          <w:sz w:val="30"/>
          <w:szCs w:val="30"/>
        </w:rPr>
        <w:t>五、采购结果应用</w:t>
      </w:r>
    </w:p>
    <w:p>
      <w:pPr>
        <w:adjustRightInd w:val="0"/>
        <w:snapToGrid w:val="0"/>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本次采购根据投标情况选定1家中标公司，中标公司负责全区营业网点宣传展示设备维保服务，</w:t>
      </w:r>
      <w:r>
        <w:rPr>
          <w:rFonts w:ascii="彩虹粗仿宋" w:hAnsi="宋体" w:eastAsia="彩虹粗仿宋"/>
          <w:sz w:val="30"/>
          <w:szCs w:val="30"/>
        </w:rPr>
        <w:t>2026-2027</w:t>
      </w:r>
      <w:r>
        <w:rPr>
          <w:rFonts w:hint="eastAsia" w:ascii="彩虹粗仿宋" w:hAnsi="宋体" w:eastAsia="彩虹粗仿宋"/>
          <w:sz w:val="30"/>
          <w:szCs w:val="30"/>
        </w:rPr>
        <w:t>年度出保设备数量约为</w:t>
      </w:r>
      <w:r>
        <w:rPr>
          <w:rFonts w:ascii="彩虹粗仿宋" w:hAnsi="宋体" w:eastAsia="彩虹粗仿宋"/>
          <w:sz w:val="30"/>
          <w:szCs w:val="30"/>
        </w:rPr>
        <w:t>681</w:t>
      </w:r>
      <w:r>
        <w:rPr>
          <w:rFonts w:hint="eastAsia" w:ascii="彩虹粗仿宋" w:hAnsi="宋体" w:eastAsia="彩虹粗仿宋"/>
          <w:sz w:val="30"/>
          <w:szCs w:val="30"/>
        </w:rPr>
        <w:t>台，最终数量以实际维保设备数量为准。</w:t>
      </w:r>
    </w:p>
    <w:p>
      <w:pPr>
        <w:adjustRightInd w:val="0"/>
        <w:snapToGrid w:val="0"/>
        <w:spacing w:line="560" w:lineRule="exact"/>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五、款项支付要求</w:t>
      </w:r>
    </w:p>
    <w:p>
      <w:pPr>
        <w:spacing w:line="560" w:lineRule="exact"/>
        <w:ind w:firstLine="600" w:firstLineChars="200"/>
        <w:rPr>
          <w:rFonts w:ascii="彩虹粗仿宋" w:hAnsi="宋体" w:eastAsia="彩虹粗仿宋"/>
          <w:sz w:val="30"/>
          <w:szCs w:val="30"/>
        </w:rPr>
      </w:pPr>
      <w:r>
        <w:rPr>
          <w:rFonts w:ascii="彩虹粗仿宋" w:hAnsi="宋体" w:eastAsia="彩虹粗仿宋"/>
          <w:sz w:val="30"/>
          <w:szCs w:val="30"/>
        </w:rPr>
        <w:t>1.</w:t>
      </w:r>
      <w:r>
        <w:rPr>
          <w:rFonts w:hint="eastAsia"/>
        </w:rPr>
        <w:t xml:space="preserve"> </w:t>
      </w:r>
      <w:r>
        <w:rPr>
          <w:rFonts w:hint="eastAsia" w:ascii="彩虹粗仿宋" w:hAnsi="宋体" w:eastAsia="彩虹粗仿宋"/>
          <w:sz w:val="30"/>
          <w:szCs w:val="30"/>
        </w:rPr>
        <w:t>各二级行（部）收集经网点报修人员签字确认的故障处理工单后按单次维修费向乙方支付。</w:t>
      </w:r>
    </w:p>
    <w:p>
      <w:pPr>
        <w:spacing w:line="560" w:lineRule="exact"/>
        <w:ind w:firstLine="600" w:firstLineChars="200"/>
        <w:rPr>
          <w:rFonts w:ascii="彩虹粗仿宋" w:hAnsi="宋体" w:eastAsia="彩虹粗仿宋"/>
          <w:sz w:val="30"/>
          <w:szCs w:val="30"/>
        </w:rPr>
      </w:pPr>
      <w:r>
        <w:rPr>
          <w:rFonts w:ascii="彩虹粗仿宋" w:hAnsi="宋体" w:eastAsia="彩虹粗仿宋"/>
          <w:sz w:val="30"/>
          <w:szCs w:val="30"/>
        </w:rPr>
        <w:t>2.</w:t>
      </w:r>
      <w:r>
        <w:rPr>
          <w:rFonts w:hint="eastAsia" w:ascii="彩虹粗仿宋" w:hAnsi="宋体" w:eastAsia="彩虹粗仿宋"/>
          <w:sz w:val="30"/>
          <w:szCs w:val="30"/>
        </w:rPr>
        <w:t>服务商按照要求开具增值税专用发票，根据约定的付款条件及时将发票送达买方指定地点。</w:t>
      </w:r>
    </w:p>
    <w:p>
      <w:pPr>
        <w:adjustRightInd w:val="0"/>
        <w:snapToGrid w:val="0"/>
        <w:spacing w:line="560" w:lineRule="exact"/>
        <w:ind w:firstLine="602" w:firstLineChars="200"/>
        <w:rPr>
          <w:rFonts w:ascii="彩虹粗仿宋" w:hAnsi="宋体" w:eastAsia="彩虹粗仿宋"/>
          <w:b/>
          <w:sz w:val="30"/>
          <w:szCs w:val="30"/>
        </w:rPr>
      </w:pPr>
      <w:r>
        <w:rPr>
          <w:rFonts w:hint="eastAsia" w:ascii="彩虹粗仿宋" w:hAnsi="宋体" w:eastAsia="彩虹粗仿宋"/>
          <w:b/>
          <w:sz w:val="30"/>
          <w:szCs w:val="30"/>
        </w:rPr>
        <w:t>六、报价要求</w:t>
      </w:r>
    </w:p>
    <w:p>
      <w:pPr>
        <w:spacing w:line="56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按维修类型报价。包括维护服务人工费、更换配件费用，付款最终以实际维保数量计付。（报价表详见下表）。</w:t>
      </w:r>
    </w:p>
    <w:tbl>
      <w:tblPr>
        <w:tblStyle w:val="4"/>
        <w:tblW w:w="6480" w:type="dxa"/>
        <w:jc w:val="center"/>
        <w:tblLayout w:type="autofit"/>
        <w:tblCellMar>
          <w:top w:w="0" w:type="dxa"/>
          <w:left w:w="108" w:type="dxa"/>
          <w:bottom w:w="0" w:type="dxa"/>
          <w:right w:w="108" w:type="dxa"/>
        </w:tblCellMar>
      </w:tblPr>
      <w:tblGrid>
        <w:gridCol w:w="2940"/>
        <w:gridCol w:w="1308"/>
        <w:gridCol w:w="952"/>
        <w:gridCol w:w="1280"/>
      </w:tblGrid>
      <w:tr>
        <w:tblPrEx>
          <w:tblCellMar>
            <w:top w:w="0" w:type="dxa"/>
            <w:left w:w="108" w:type="dxa"/>
            <w:bottom w:w="0" w:type="dxa"/>
            <w:right w:w="108" w:type="dxa"/>
          </w:tblCellMar>
        </w:tblPrEx>
        <w:trPr>
          <w:trHeight w:val="360" w:hRule="atLeast"/>
          <w:jc w:val="center"/>
        </w:trPr>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维保类型</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9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含税单价</w:t>
            </w: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更换P10单红LED门楣屏模组</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更换P1.5全彩LED屏模组</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更换P1.8全彩LED模组</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更换P2.5全彩LED模组</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更换LED全彩屏接收卡</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更换LED全彩屏视频处理器</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更换控制主板X86</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更换控制电源</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更换逻辑控制板</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更换恒流板</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更换机械硬盘</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更换SD存储卡</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更换内存</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更换触摸控制器</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更换触摸框</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更换安装支架</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更换门楣屏控制卡</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块</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更换门楣屏开关电源</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更换排线</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300" w:hRule="atLeast"/>
          <w:jc w:val="center"/>
        </w:trPr>
        <w:tc>
          <w:tcPr>
            <w:tcW w:w="29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上门维修人工费</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次</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2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bl>
    <w:p>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备注：报价均为含税价，供应商需开具增值税专用发票。</w:t>
      </w:r>
    </w:p>
    <w:p>
      <w:pPr>
        <w:spacing w:line="360" w:lineRule="auto"/>
        <w:rPr>
          <w:rFonts w:ascii="彩虹粗仿宋" w:eastAsia="彩虹粗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宋体-人口信息-P2">
    <w:panose1 w:val="03000509000000000000"/>
    <w:charset w:val="86"/>
    <w:family w:val="auto"/>
    <w:pitch w:val="default"/>
    <w:sig w:usb0="10002003" w:usb1="BB1E0800" w:usb2="000A004E" w:usb3="00000000" w:csb0="003C0041" w:csb1="A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40977"/>
    <w:multiLevelType w:val="singleLevel"/>
    <w:tmpl w:val="E33409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A62"/>
    <w:rsid w:val="000119D1"/>
    <w:rsid w:val="000C0A62"/>
    <w:rsid w:val="000C5D5C"/>
    <w:rsid w:val="000D1A0A"/>
    <w:rsid w:val="000E1258"/>
    <w:rsid w:val="00126784"/>
    <w:rsid w:val="00131095"/>
    <w:rsid w:val="00131746"/>
    <w:rsid w:val="00143D5F"/>
    <w:rsid w:val="00160AEE"/>
    <w:rsid w:val="00227C1C"/>
    <w:rsid w:val="0028083B"/>
    <w:rsid w:val="002B1C07"/>
    <w:rsid w:val="002C6384"/>
    <w:rsid w:val="002D1F17"/>
    <w:rsid w:val="002D2582"/>
    <w:rsid w:val="00303C94"/>
    <w:rsid w:val="0033701C"/>
    <w:rsid w:val="00357EE3"/>
    <w:rsid w:val="003A7D66"/>
    <w:rsid w:val="003E3F08"/>
    <w:rsid w:val="00413C3D"/>
    <w:rsid w:val="00414289"/>
    <w:rsid w:val="0049397F"/>
    <w:rsid w:val="004C5545"/>
    <w:rsid w:val="00566948"/>
    <w:rsid w:val="005B2FB6"/>
    <w:rsid w:val="005F7CEA"/>
    <w:rsid w:val="00661EB4"/>
    <w:rsid w:val="00676D5E"/>
    <w:rsid w:val="006B34A4"/>
    <w:rsid w:val="007314D7"/>
    <w:rsid w:val="008064D8"/>
    <w:rsid w:val="008639C7"/>
    <w:rsid w:val="00886C5C"/>
    <w:rsid w:val="00886DB1"/>
    <w:rsid w:val="008930B0"/>
    <w:rsid w:val="008B5D7B"/>
    <w:rsid w:val="008E7796"/>
    <w:rsid w:val="00953328"/>
    <w:rsid w:val="009965C4"/>
    <w:rsid w:val="009B173D"/>
    <w:rsid w:val="009E7CB8"/>
    <w:rsid w:val="00A810F9"/>
    <w:rsid w:val="00A81914"/>
    <w:rsid w:val="00A97756"/>
    <w:rsid w:val="00AF6D84"/>
    <w:rsid w:val="00B00E00"/>
    <w:rsid w:val="00B2029F"/>
    <w:rsid w:val="00B5278F"/>
    <w:rsid w:val="00BA657A"/>
    <w:rsid w:val="00C05725"/>
    <w:rsid w:val="00C603E3"/>
    <w:rsid w:val="00C60F8C"/>
    <w:rsid w:val="00CD3ABD"/>
    <w:rsid w:val="00CF1BE8"/>
    <w:rsid w:val="00D031F0"/>
    <w:rsid w:val="00D22CD7"/>
    <w:rsid w:val="00D2537A"/>
    <w:rsid w:val="00D60E91"/>
    <w:rsid w:val="00D9129C"/>
    <w:rsid w:val="00DC5520"/>
    <w:rsid w:val="00E85960"/>
    <w:rsid w:val="00F3479B"/>
    <w:rsid w:val="00FB2D83"/>
    <w:rsid w:val="27F71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405</Words>
  <Characters>2311</Characters>
  <Lines>19</Lines>
  <Paragraphs>5</Paragraphs>
  <TotalTime>3</TotalTime>
  <ScaleCrop>false</ScaleCrop>
  <LinksUpToDate>false</LinksUpToDate>
  <CharactersWithSpaces>2711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2026-07-16T15:21:00Z</dcterms:created>
  <dc:creator>Apache POI</dc:creator>
  <cp:lastModifiedBy>ccb</cp:lastModifiedBy>
  <dcterms:modified xsi:type="dcterms:W3CDTF">2026-07-16T15:49:08Z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1EDC41E3266ECC89F48C586AFEF1FDFB_43</vt:lpwstr>
  </property>
</Properties>
</file>