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彩虹小标宋" w:hAnsi="彩虹小标宋" w:eastAsia="彩虹小标宋" w:cs="彩虹小标宋"/>
          <w:color w:val="auto"/>
          <w:sz w:val="44"/>
          <w:szCs w:val="44"/>
          <w:highlight w:val="none"/>
        </w:rPr>
      </w:pPr>
      <w:r>
        <w:rPr>
          <w:rFonts w:hint="eastAsia" w:ascii="彩虹小标宋" w:hAnsi="彩虹小标宋" w:eastAsia="彩虹小标宋" w:cs="彩虹小标宋"/>
          <w:color w:val="auto"/>
          <w:sz w:val="44"/>
          <w:szCs w:val="44"/>
          <w:highlight w:val="none"/>
        </w:rPr>
        <w:t>采购需求说明</w:t>
      </w:r>
    </w:p>
    <w:p>
      <w:pPr>
        <w:snapToGrid w:val="0"/>
        <w:spacing w:line="560" w:lineRule="atLeast"/>
        <w:jc w:val="center"/>
        <w:rPr>
          <w:rFonts w:ascii="彩虹粗仿宋" w:hAnsi="彩虹粗仿宋" w:eastAsia="彩虹粗仿宋"/>
          <w:b/>
          <w:color w:val="auto"/>
          <w:sz w:val="32"/>
          <w:szCs w:val="32"/>
          <w:highlight w:val="none"/>
        </w:rPr>
      </w:pPr>
    </w:p>
    <w:p>
      <w:pPr>
        <w:keepNext w:val="0"/>
        <w:keepLines w:val="0"/>
        <w:pageBreakBefore w:val="0"/>
        <w:widowControl w:val="0"/>
        <w:kinsoku/>
        <w:wordWrap/>
        <w:overflowPunct/>
        <w:topLinePunct w:val="0"/>
        <w:bidi w:val="0"/>
        <w:snapToGrid w:val="0"/>
        <w:spacing w:line="587" w:lineRule="exact"/>
        <w:ind w:firstLine="629" w:firstLineChars="196"/>
        <w:jc w:val="both"/>
        <w:textAlignment w:val="auto"/>
        <w:rPr>
          <w:rFonts w:ascii="彩虹黑体" w:hAnsi="彩虹粗仿宋" w:eastAsia="彩虹黑体"/>
          <w:b/>
          <w:color w:val="auto"/>
          <w:sz w:val="32"/>
          <w:szCs w:val="32"/>
          <w:highlight w:val="none"/>
        </w:rPr>
      </w:pPr>
      <w:r>
        <w:rPr>
          <w:rFonts w:hint="eastAsia" w:ascii="彩虹黑体" w:hAnsi="彩虹粗仿宋" w:eastAsia="彩虹黑体"/>
          <w:b/>
          <w:color w:val="auto"/>
          <w:sz w:val="32"/>
          <w:szCs w:val="32"/>
          <w:highlight w:val="none"/>
        </w:rPr>
        <w:t>一、项目名称</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ascii="彩虹粗仿宋" w:hAnsi="宋体" w:eastAsia="彩虹粗仿宋"/>
          <w:color w:val="auto"/>
          <w:sz w:val="32"/>
          <w:szCs w:val="32"/>
          <w:highlight w:val="none"/>
        </w:rPr>
      </w:pPr>
      <w:r>
        <w:rPr>
          <w:rFonts w:hint="eastAsia" w:ascii="彩虹粗仿宋" w:hAnsi="宋体" w:eastAsia="彩虹粗仿宋"/>
          <w:color w:val="auto"/>
          <w:sz w:val="32"/>
          <w:szCs w:val="32"/>
          <w:highlight w:val="none"/>
        </w:rPr>
        <w:t>来宾</w:t>
      </w:r>
      <w:r>
        <w:rPr>
          <w:rFonts w:ascii="彩虹粗仿宋" w:hAnsi="宋体" w:eastAsia="彩虹粗仿宋"/>
          <w:color w:val="auto"/>
          <w:sz w:val="32"/>
          <w:szCs w:val="32"/>
          <w:highlight w:val="none"/>
        </w:rPr>
        <w:t>分行</w:t>
      </w:r>
      <w:r>
        <w:rPr>
          <w:rFonts w:hint="eastAsia" w:ascii="彩虹粗仿宋" w:hAnsi="宋体" w:eastAsia="彩虹粗仿宋"/>
          <w:color w:val="auto"/>
          <w:sz w:val="32"/>
          <w:szCs w:val="32"/>
          <w:highlight w:val="none"/>
        </w:rPr>
        <w:t>营业网点及办公用房零星修缮服务</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2" w:firstLineChars="200"/>
        <w:jc w:val="both"/>
        <w:textAlignment w:val="auto"/>
        <w:rPr>
          <w:rFonts w:ascii="彩虹黑体" w:eastAsia="彩虹黑体"/>
          <w:b/>
          <w:color w:val="auto"/>
          <w:sz w:val="32"/>
          <w:szCs w:val="32"/>
          <w:highlight w:val="none"/>
        </w:rPr>
      </w:pPr>
      <w:r>
        <w:rPr>
          <w:rFonts w:hint="eastAsia" w:ascii="彩虹黑体" w:eastAsia="彩虹黑体"/>
          <w:b/>
          <w:color w:val="auto"/>
          <w:sz w:val="32"/>
          <w:szCs w:val="32"/>
          <w:highlight w:val="none"/>
        </w:rPr>
        <w:t>二、采购需求</w:t>
      </w:r>
    </w:p>
    <w:p>
      <w:pPr>
        <w:keepNext w:val="0"/>
        <w:keepLines w:val="0"/>
        <w:pageBreakBefore w:val="0"/>
        <w:widowControl w:val="0"/>
        <w:kinsoku/>
        <w:wordWrap/>
        <w:overflowPunct/>
        <w:topLinePunct w:val="0"/>
        <w:bidi w:val="0"/>
        <w:snapToGrid w:val="0"/>
        <w:spacing w:line="587" w:lineRule="exact"/>
        <w:ind w:firstLine="640" w:firstLineChars="200"/>
        <w:jc w:val="both"/>
        <w:textAlignment w:val="auto"/>
        <w:rPr>
          <w:rFonts w:hint="eastAsia" w:ascii="彩虹粗仿宋" w:eastAsia="彩虹粗仿宋" w:cs="彩虹粗仿宋"/>
          <w:color w:val="auto"/>
          <w:sz w:val="32"/>
          <w:szCs w:val="32"/>
          <w:highlight w:val="none"/>
          <w:shd w:val="clear" w:color="auto" w:fill="FFFFFF"/>
        </w:rPr>
      </w:pPr>
      <w:r>
        <w:rPr>
          <w:rFonts w:hint="eastAsia" w:ascii="彩虹粗仿宋" w:eastAsia="彩虹粗仿宋" w:cs="彩虹粗仿宋"/>
          <w:color w:val="auto"/>
          <w:sz w:val="32"/>
          <w:szCs w:val="32"/>
          <w:highlight w:val="none"/>
          <w:shd w:val="clear" w:color="auto" w:fill="FFFFFF"/>
        </w:rPr>
        <w:t>（一）本项目建议入选供应商</w:t>
      </w:r>
      <w:r>
        <w:rPr>
          <w:rFonts w:hint="eastAsia" w:ascii="彩虹粗仿宋" w:eastAsia="彩虹粗仿宋" w:cs="彩虹粗仿宋"/>
          <w:color w:val="auto"/>
          <w:sz w:val="32"/>
          <w:szCs w:val="32"/>
          <w:highlight w:val="none"/>
          <w:shd w:val="clear" w:color="auto" w:fill="FFFFFF"/>
          <w:lang w:val="en-US" w:eastAsia="zh-CN"/>
        </w:rPr>
        <w:t>1</w:t>
      </w:r>
      <w:r>
        <w:rPr>
          <w:rFonts w:hint="eastAsia" w:ascii="彩虹粗仿宋" w:eastAsia="彩虹粗仿宋" w:cs="彩虹粗仿宋"/>
          <w:color w:val="auto"/>
          <w:sz w:val="32"/>
          <w:szCs w:val="32"/>
          <w:highlight w:val="none"/>
          <w:shd w:val="clear" w:color="auto" w:fill="FFFFFF"/>
        </w:rPr>
        <w:t>家，备选供应商1家。</w:t>
      </w:r>
    </w:p>
    <w:p>
      <w:pPr>
        <w:keepNext w:val="0"/>
        <w:keepLines w:val="0"/>
        <w:pageBreakBefore w:val="0"/>
        <w:widowControl w:val="0"/>
        <w:kinsoku/>
        <w:wordWrap/>
        <w:overflowPunct/>
        <w:topLinePunct w:val="0"/>
        <w:bidi w:val="0"/>
        <w:spacing w:line="587" w:lineRule="exact"/>
        <w:ind w:firstLine="640" w:firstLineChars="200"/>
        <w:jc w:val="both"/>
        <w:textAlignment w:val="auto"/>
        <w:rPr>
          <w:rFonts w:hint="eastAsia" w:ascii="彩虹粗仿宋" w:eastAsia="彩虹粗仿宋" w:cs="彩虹粗仿宋"/>
          <w:color w:val="auto"/>
          <w:sz w:val="32"/>
          <w:szCs w:val="32"/>
          <w:highlight w:val="none"/>
          <w:shd w:val="clear" w:color="auto" w:fill="FFFFFF"/>
        </w:rPr>
      </w:pPr>
      <w:r>
        <w:rPr>
          <w:rFonts w:hint="eastAsia" w:ascii="彩虹粗仿宋" w:eastAsia="彩虹粗仿宋" w:cs="彩虹粗仿宋"/>
          <w:color w:val="auto"/>
          <w:sz w:val="32"/>
          <w:szCs w:val="32"/>
          <w:highlight w:val="none"/>
          <w:shd w:val="clear" w:color="auto" w:fill="FFFFFF"/>
        </w:rPr>
        <w:t>（二）协议期限1年，采购范围为</w:t>
      </w:r>
      <w:r>
        <w:rPr>
          <w:rFonts w:hint="eastAsia" w:ascii="彩虹粗仿宋" w:eastAsia="彩虹粗仿宋" w:cs="彩虹粗仿宋"/>
          <w:color w:val="auto"/>
          <w:sz w:val="32"/>
          <w:szCs w:val="32"/>
          <w:highlight w:val="none"/>
          <w:shd w:val="clear" w:color="auto" w:fill="FFFFFF"/>
          <w:lang w:eastAsia="zh-CN"/>
        </w:rPr>
        <w:t>单次</w:t>
      </w:r>
      <w:r>
        <w:rPr>
          <w:rFonts w:hint="eastAsia" w:ascii="彩虹粗仿宋" w:eastAsia="彩虹粗仿宋" w:cs="彩虹粗仿宋"/>
          <w:color w:val="auto"/>
          <w:sz w:val="32"/>
          <w:szCs w:val="32"/>
          <w:highlight w:val="none"/>
          <w:shd w:val="clear" w:color="auto" w:fill="FFFFFF"/>
        </w:rPr>
        <w:t>单笔金额在</w:t>
      </w:r>
      <w:r>
        <w:rPr>
          <w:rFonts w:hint="eastAsia" w:ascii="彩虹粗仿宋" w:hAnsi="Times New Roman" w:eastAsia="彩虹粗仿宋" w:cs="彩虹粗仿宋"/>
          <w:color w:val="auto"/>
          <w:sz w:val="32"/>
          <w:szCs w:val="32"/>
          <w:highlight w:val="none"/>
          <w:shd w:val="clear" w:color="auto" w:fill="FFFFFF"/>
        </w:rPr>
        <w:t>10万</w:t>
      </w:r>
      <w:r>
        <w:rPr>
          <w:rFonts w:hint="eastAsia" w:ascii="彩虹粗仿宋" w:hAnsi="Times New Roman" w:eastAsia="彩虹粗仿宋" w:cs="彩虹粗仿宋"/>
          <w:color w:val="auto"/>
          <w:sz w:val="32"/>
          <w:szCs w:val="32"/>
          <w:highlight w:val="none"/>
          <w:shd w:val="clear" w:color="auto" w:fill="FFFFFF"/>
          <w:lang w:eastAsia="zh-CN"/>
        </w:rPr>
        <w:t>元</w:t>
      </w:r>
      <w:r>
        <w:rPr>
          <w:rFonts w:hint="eastAsia" w:ascii="彩虹粗仿宋" w:hAnsi="Times New Roman" w:eastAsia="彩虹粗仿宋" w:cs="彩虹粗仿宋"/>
          <w:color w:val="auto"/>
          <w:sz w:val="32"/>
          <w:szCs w:val="32"/>
          <w:highlight w:val="none"/>
          <w:shd w:val="clear" w:color="auto" w:fill="FFFFFF"/>
        </w:rPr>
        <w:t>（不含）以下的零星修缮项目</w:t>
      </w:r>
      <w:r>
        <w:rPr>
          <w:rFonts w:hint="eastAsia" w:ascii="彩虹粗仿宋" w:eastAsia="彩虹粗仿宋" w:cs="彩虹粗仿宋"/>
          <w:color w:val="auto"/>
          <w:sz w:val="32"/>
          <w:szCs w:val="32"/>
          <w:highlight w:val="none"/>
          <w:shd w:val="clear" w:color="auto" w:fill="FFFFFF"/>
        </w:rPr>
        <w:t>，</w:t>
      </w:r>
      <w:r>
        <w:rPr>
          <w:rFonts w:hint="eastAsia" w:ascii="彩虹粗仿宋" w:hAnsi="Times New Roman" w:eastAsia="彩虹粗仿宋" w:cs="彩虹粗仿宋"/>
          <w:color w:val="auto"/>
          <w:sz w:val="32"/>
          <w:szCs w:val="32"/>
          <w:highlight w:val="none"/>
          <w:shd w:val="clear" w:color="auto" w:fill="FFFFFF"/>
        </w:rPr>
        <w:t>包括但不限于屋面、招牌、墙体、地面、排水等项目的工程修缮事项。</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hint="eastAsia" w:ascii="彩虹粗仿宋" w:hAnsi="Times New Roman" w:eastAsia="彩虹粗仿宋" w:cs="彩虹粗仿宋"/>
          <w:color w:val="auto"/>
          <w:sz w:val="32"/>
          <w:szCs w:val="32"/>
          <w:highlight w:val="none"/>
          <w:lang w:eastAsia="zh-CN"/>
        </w:rPr>
      </w:pPr>
      <w:r>
        <w:rPr>
          <w:rFonts w:hint="eastAsia" w:ascii="彩虹粗仿宋" w:eastAsia="彩虹粗仿宋" w:cs="彩虹粗仿宋"/>
          <w:color w:val="auto"/>
          <w:sz w:val="32"/>
          <w:szCs w:val="32"/>
          <w:highlight w:val="none"/>
          <w:shd w:val="clear" w:color="auto" w:fill="FFFFFF"/>
        </w:rPr>
        <w:t>（</w:t>
      </w:r>
      <w:r>
        <w:rPr>
          <w:rFonts w:hint="eastAsia" w:ascii="彩虹粗仿宋" w:eastAsia="彩虹粗仿宋" w:cs="彩虹粗仿宋"/>
          <w:color w:val="auto"/>
          <w:sz w:val="32"/>
          <w:szCs w:val="32"/>
          <w:highlight w:val="none"/>
          <w:shd w:val="clear" w:color="auto" w:fill="FFFFFF"/>
          <w:lang w:val="en-US" w:eastAsia="zh-CN"/>
        </w:rPr>
        <w:t>三</w:t>
      </w:r>
      <w:r>
        <w:rPr>
          <w:rFonts w:hint="eastAsia" w:ascii="彩虹粗仿宋" w:eastAsia="彩虹粗仿宋" w:cs="彩虹粗仿宋"/>
          <w:color w:val="auto"/>
          <w:sz w:val="32"/>
          <w:szCs w:val="32"/>
          <w:highlight w:val="none"/>
          <w:shd w:val="clear" w:color="auto" w:fill="FFFFFF"/>
        </w:rPr>
        <w:t>）</w:t>
      </w:r>
      <w:r>
        <w:rPr>
          <w:rFonts w:hint="eastAsia" w:ascii="彩虹粗仿宋" w:eastAsia="彩虹粗仿宋" w:cs="彩虹粗仿宋"/>
          <w:b/>
          <w:bCs/>
          <w:color w:val="auto"/>
          <w:sz w:val="32"/>
          <w:szCs w:val="32"/>
          <w:highlight w:val="none"/>
          <w:shd w:val="clear" w:color="auto" w:fill="FFFFFF"/>
        </w:rPr>
        <w:t>资质要求</w:t>
      </w:r>
      <w:r>
        <w:rPr>
          <w:rFonts w:hint="eastAsia" w:ascii="彩虹粗仿宋" w:eastAsia="彩虹粗仿宋" w:cs="彩虹粗仿宋"/>
          <w:color w:val="auto"/>
          <w:sz w:val="32"/>
          <w:szCs w:val="32"/>
          <w:highlight w:val="none"/>
          <w:shd w:val="clear" w:color="auto" w:fill="FFFFFF"/>
        </w:rPr>
        <w:t>：</w:t>
      </w:r>
      <w:bookmarkStart w:id="0" w:name="_GoBack"/>
      <w:r>
        <w:rPr>
          <w:rFonts w:hint="eastAsia" w:ascii="彩虹粗仿宋" w:hAnsi="Times New Roman" w:eastAsia="彩虹粗仿宋" w:cs="彩虹粗仿宋"/>
          <w:color w:val="auto"/>
          <w:sz w:val="32"/>
          <w:szCs w:val="32"/>
          <w:highlight w:val="none"/>
        </w:rPr>
        <w:t>供应</w:t>
      </w:r>
      <w:r>
        <w:rPr>
          <w:rFonts w:ascii="彩虹粗仿宋" w:hAnsi="Times New Roman" w:eastAsia="彩虹粗仿宋" w:cs="彩虹粗仿宋"/>
          <w:color w:val="auto"/>
          <w:sz w:val="32"/>
          <w:szCs w:val="32"/>
          <w:highlight w:val="none"/>
        </w:rPr>
        <w:t>商</w:t>
      </w:r>
      <w:r>
        <w:rPr>
          <w:rFonts w:hint="eastAsia" w:ascii="彩虹粗仿宋" w:hAnsi="Times New Roman" w:eastAsia="彩虹粗仿宋" w:cs="彩虹粗仿宋"/>
          <w:color w:val="auto"/>
          <w:sz w:val="32"/>
          <w:szCs w:val="32"/>
          <w:highlight w:val="none"/>
        </w:rPr>
        <w:t>应</w:t>
      </w:r>
      <w:r>
        <w:rPr>
          <w:rFonts w:hint="eastAsia" w:ascii="彩虹粗仿宋" w:eastAsia="彩虹粗仿宋" w:cs="彩虹粗仿宋"/>
          <w:color w:val="auto"/>
          <w:sz w:val="32"/>
          <w:szCs w:val="32"/>
          <w:highlight w:val="none"/>
          <w:shd w:val="clear" w:color="auto" w:fill="FFFFFF"/>
        </w:rPr>
        <w:t>具备建筑装修装饰工程专业承包资质或</w:t>
      </w:r>
      <w:r>
        <w:rPr>
          <w:rFonts w:ascii="彩虹粗仿宋" w:eastAsia="彩虹粗仿宋" w:cs="彩虹粗仿宋"/>
          <w:color w:val="auto"/>
          <w:sz w:val="32"/>
          <w:szCs w:val="32"/>
          <w:highlight w:val="none"/>
          <w:shd w:val="clear" w:color="auto" w:fill="FFFFFF"/>
        </w:rPr>
        <w:t>建筑</w:t>
      </w:r>
      <w:r>
        <w:rPr>
          <w:rFonts w:hint="eastAsia" w:ascii="彩虹粗仿宋" w:eastAsia="彩虹粗仿宋" w:cs="彩虹粗仿宋"/>
          <w:color w:val="auto"/>
          <w:sz w:val="32"/>
          <w:szCs w:val="32"/>
          <w:highlight w:val="none"/>
          <w:shd w:val="clear" w:color="auto" w:fill="FFFFFF"/>
        </w:rPr>
        <w:t>工程</w:t>
      </w:r>
      <w:r>
        <w:rPr>
          <w:rFonts w:ascii="彩虹粗仿宋" w:eastAsia="彩虹粗仿宋" w:cs="彩虹粗仿宋"/>
          <w:color w:val="auto"/>
          <w:sz w:val="32"/>
          <w:szCs w:val="32"/>
          <w:highlight w:val="none"/>
          <w:shd w:val="clear" w:color="auto" w:fill="FFFFFF"/>
        </w:rPr>
        <w:t>施工总</w:t>
      </w:r>
      <w:r>
        <w:rPr>
          <w:rFonts w:hint="eastAsia" w:ascii="彩虹粗仿宋" w:eastAsia="彩虹粗仿宋" w:cs="彩虹粗仿宋"/>
          <w:color w:val="auto"/>
          <w:sz w:val="32"/>
          <w:szCs w:val="32"/>
          <w:highlight w:val="none"/>
          <w:shd w:val="clear" w:color="auto" w:fill="FFFFFF"/>
        </w:rPr>
        <w:t>承包资质，</w:t>
      </w:r>
      <w:r>
        <w:rPr>
          <w:rFonts w:ascii="彩虹粗仿宋" w:eastAsia="彩虹粗仿宋" w:cs="彩虹粗仿宋"/>
          <w:color w:val="auto"/>
          <w:sz w:val="32"/>
          <w:szCs w:val="32"/>
          <w:highlight w:val="none"/>
          <w:shd w:val="clear" w:color="auto" w:fill="FFFFFF"/>
        </w:rPr>
        <w:t>且具备有效的</w:t>
      </w:r>
      <w:r>
        <w:rPr>
          <w:rFonts w:hint="eastAsia" w:ascii="彩虹粗仿宋" w:eastAsia="彩虹粗仿宋" w:cs="彩虹粗仿宋"/>
          <w:color w:val="auto"/>
          <w:sz w:val="32"/>
          <w:szCs w:val="32"/>
          <w:highlight w:val="none"/>
          <w:shd w:val="clear" w:color="auto" w:fill="FFFFFF"/>
        </w:rPr>
        <w:t>安全生产许可证</w:t>
      </w:r>
      <w:r>
        <w:rPr>
          <w:rFonts w:hint="eastAsia" w:ascii="彩虹粗仿宋" w:hAnsi="Times New Roman" w:eastAsia="彩虹粗仿宋" w:cs="彩虹粗仿宋"/>
          <w:color w:val="auto"/>
          <w:sz w:val="32"/>
          <w:szCs w:val="32"/>
          <w:highlight w:val="none"/>
        </w:rPr>
        <w:t>。</w:t>
      </w:r>
      <w:r>
        <w:rPr>
          <w:rFonts w:hint="eastAsia" w:ascii="彩虹粗仿宋" w:hAnsi="Times New Roman" w:eastAsia="彩虹粗仿宋" w:cs="彩虹粗仿宋"/>
          <w:color w:val="auto"/>
          <w:sz w:val="32"/>
          <w:szCs w:val="32"/>
          <w:highlight w:val="none"/>
          <w:lang w:eastAsia="zh-CN"/>
        </w:rPr>
        <w:t>供应商或其分支机构注册地应位于来宾、柳州或南宁。</w:t>
      </w:r>
      <w:bookmarkEnd w:id="0"/>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ascii="彩虹粗仿宋" w:eastAsia="彩虹粗仿宋" w:cs="彩虹粗仿宋"/>
          <w:color w:val="auto"/>
          <w:sz w:val="32"/>
          <w:szCs w:val="32"/>
          <w:highlight w:val="none"/>
          <w:shd w:val="clear" w:color="auto" w:fill="FFFFFF"/>
        </w:rPr>
      </w:pPr>
      <w:r>
        <w:rPr>
          <w:rFonts w:hint="eastAsia" w:ascii="彩虹粗仿宋" w:eastAsia="彩虹粗仿宋" w:cs="彩虹粗仿宋"/>
          <w:color w:val="auto"/>
          <w:sz w:val="32"/>
          <w:szCs w:val="32"/>
          <w:highlight w:val="none"/>
          <w:shd w:val="clear" w:color="auto" w:fill="FFFFFF"/>
        </w:rPr>
        <w:t>（</w:t>
      </w:r>
      <w:r>
        <w:rPr>
          <w:rFonts w:hint="eastAsia" w:ascii="彩虹粗仿宋" w:eastAsia="彩虹粗仿宋" w:cs="彩虹粗仿宋"/>
          <w:color w:val="auto"/>
          <w:sz w:val="32"/>
          <w:szCs w:val="32"/>
          <w:highlight w:val="none"/>
          <w:shd w:val="clear" w:color="auto" w:fill="FFFFFF"/>
          <w:lang w:val="en-US" w:eastAsia="zh-CN"/>
        </w:rPr>
        <w:t>四</w:t>
      </w:r>
      <w:r>
        <w:rPr>
          <w:rFonts w:hint="eastAsia" w:ascii="彩虹粗仿宋" w:eastAsia="彩虹粗仿宋" w:cs="彩虹粗仿宋"/>
          <w:color w:val="auto"/>
          <w:sz w:val="32"/>
          <w:szCs w:val="32"/>
          <w:highlight w:val="none"/>
          <w:shd w:val="clear" w:color="auto" w:fill="FFFFFF"/>
        </w:rPr>
        <w:t>）</w:t>
      </w:r>
      <w:r>
        <w:rPr>
          <w:rFonts w:hint="eastAsia" w:ascii="彩虹粗仿宋" w:hAnsi="宋体" w:eastAsia="彩虹粗仿宋"/>
          <w:color w:val="auto"/>
          <w:sz w:val="32"/>
          <w:szCs w:val="32"/>
          <w:highlight w:val="none"/>
        </w:rPr>
        <w:t>具体项目以具体项目设计图纸、工程量表及预算书为准。工程内容、工程量以造价咨询公司编制的具体项目的《维修工程预算书》或其他工程量表为准。</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hint="eastAsia" w:ascii="彩虹粗仿宋" w:eastAsia="彩虹粗仿宋"/>
          <w:color w:val="auto"/>
          <w:sz w:val="32"/>
          <w:szCs w:val="32"/>
          <w:highlight w:val="none"/>
        </w:rPr>
      </w:pPr>
      <w:r>
        <w:rPr>
          <w:rFonts w:hint="eastAsia" w:ascii="彩虹粗仿宋" w:hAnsi="宋体" w:eastAsia="彩虹粗仿宋"/>
          <w:color w:val="auto"/>
          <w:sz w:val="32"/>
          <w:szCs w:val="32"/>
          <w:highlight w:val="none"/>
        </w:rPr>
        <w:t>（</w:t>
      </w:r>
      <w:r>
        <w:rPr>
          <w:rFonts w:hint="eastAsia" w:ascii="彩虹粗仿宋" w:hAnsi="宋体" w:eastAsia="彩虹粗仿宋"/>
          <w:color w:val="auto"/>
          <w:sz w:val="32"/>
          <w:szCs w:val="32"/>
          <w:highlight w:val="none"/>
          <w:lang w:val="en-US" w:eastAsia="zh-CN"/>
        </w:rPr>
        <w:t>五</w:t>
      </w:r>
      <w:r>
        <w:rPr>
          <w:rFonts w:hint="eastAsia" w:ascii="彩虹粗仿宋" w:hAnsi="宋体" w:eastAsia="彩虹粗仿宋"/>
          <w:color w:val="auto"/>
          <w:sz w:val="32"/>
          <w:szCs w:val="32"/>
          <w:highlight w:val="none"/>
        </w:rPr>
        <w:t>）</w:t>
      </w:r>
      <w:r>
        <w:rPr>
          <w:rFonts w:hint="eastAsia" w:ascii="彩虹粗仿宋" w:eastAsia="彩虹粗仿宋"/>
          <w:color w:val="auto"/>
          <w:sz w:val="32"/>
          <w:szCs w:val="32"/>
          <w:highlight w:val="none"/>
        </w:rPr>
        <w:t>项目实施范围：在来宾区域</w:t>
      </w:r>
      <w:r>
        <w:rPr>
          <w:rFonts w:hint="eastAsia" w:ascii="彩虹粗仿宋" w:hAnsi="宋体" w:eastAsia="彩虹粗仿宋"/>
          <w:color w:val="auto"/>
          <w:sz w:val="32"/>
          <w:szCs w:val="32"/>
          <w:highlight w:val="none"/>
        </w:rPr>
        <w:t>内营业网点及办公用房</w:t>
      </w:r>
      <w:r>
        <w:rPr>
          <w:rFonts w:hint="eastAsia" w:ascii="彩虹粗仿宋" w:eastAsia="彩虹粗仿宋"/>
          <w:color w:val="auto"/>
          <w:sz w:val="32"/>
          <w:szCs w:val="32"/>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pacing w:line="587" w:lineRule="exact"/>
        <w:ind w:firstLine="640" w:firstLineChars="200"/>
        <w:jc w:val="both"/>
        <w:textAlignment w:val="auto"/>
        <w:rPr>
          <w:rFonts w:hint="eastAsia" w:ascii="彩虹粗仿宋" w:eastAsia="彩虹粗仿宋"/>
          <w:color w:val="auto"/>
          <w:sz w:val="32"/>
          <w:highlight w:val="none"/>
        </w:rPr>
      </w:pPr>
      <w:r>
        <w:rPr>
          <w:rFonts w:hint="eastAsia" w:ascii="彩虹粗仿宋" w:hAnsi="宋体" w:eastAsia="彩虹粗仿宋"/>
          <w:color w:val="auto"/>
          <w:sz w:val="32"/>
          <w:szCs w:val="32"/>
          <w:highlight w:val="none"/>
        </w:rPr>
        <w:t>供应商签署协议后不得将工程转包、分包、自行选择性承包施工项目。</w:t>
      </w:r>
      <w:r>
        <w:rPr>
          <w:rFonts w:hint="eastAsia" w:ascii="彩虹粗仿宋" w:eastAsia="彩虹粗仿宋"/>
          <w:color w:val="auto"/>
          <w:sz w:val="32"/>
          <w:highlight w:val="none"/>
        </w:rPr>
        <w:t>如供应商违反约定擅自将工程转包、分包、选择性承接施工项目，我行有权终止协议并要求供应商承担相应的违约责任。</w:t>
      </w:r>
    </w:p>
    <w:p>
      <w:pPr>
        <w:keepNext w:val="0"/>
        <w:keepLines w:val="0"/>
        <w:pageBreakBefore w:val="0"/>
        <w:widowControl w:val="0"/>
        <w:numPr>
          <w:ilvl w:val="0"/>
          <w:numId w:val="1"/>
        </w:numPr>
        <w:kinsoku/>
        <w:wordWrap/>
        <w:overflowPunct/>
        <w:topLinePunct w:val="0"/>
        <w:autoSpaceDE w:val="0"/>
        <w:autoSpaceDN w:val="0"/>
        <w:bidi w:val="0"/>
        <w:adjustRightInd w:val="0"/>
        <w:spacing w:line="587" w:lineRule="exact"/>
        <w:ind w:firstLine="640" w:firstLineChars="200"/>
        <w:jc w:val="both"/>
        <w:textAlignment w:val="auto"/>
        <w:rPr>
          <w:rFonts w:hint="eastAsia" w:ascii="彩虹粗仿宋" w:eastAsia="彩虹粗仿宋"/>
          <w:color w:val="auto"/>
          <w:sz w:val="32"/>
          <w:highlight w:val="none"/>
        </w:rPr>
      </w:pPr>
      <w:r>
        <w:rPr>
          <w:rFonts w:hint="eastAsia" w:ascii="彩虹粗仿宋" w:eastAsia="彩虹粗仿宋"/>
          <w:color w:val="auto"/>
          <w:sz w:val="32"/>
          <w:highlight w:val="none"/>
        </w:rPr>
        <w:t>供应商在履约期间出现施工质效差、施工时间超期、工艺不符合要求、选择性承接项目等履约问题，由项目采购归口管理部门、采购中心、项目实施部门组成小组进行约谈。供应商在后续项目管理、实施过程中仍未予以整改，则终止协议。</w:t>
      </w:r>
    </w:p>
    <w:p>
      <w:pPr>
        <w:keepNext w:val="0"/>
        <w:keepLines w:val="0"/>
        <w:pageBreakBefore w:val="0"/>
        <w:widowControl w:val="0"/>
        <w:numPr>
          <w:ilvl w:val="0"/>
          <w:numId w:val="1"/>
        </w:numPr>
        <w:kinsoku/>
        <w:wordWrap/>
        <w:overflowPunct/>
        <w:topLinePunct w:val="0"/>
        <w:autoSpaceDE w:val="0"/>
        <w:autoSpaceDN w:val="0"/>
        <w:bidi w:val="0"/>
        <w:adjustRightInd w:val="0"/>
        <w:spacing w:line="587" w:lineRule="exact"/>
        <w:ind w:firstLine="640" w:firstLineChars="200"/>
        <w:jc w:val="both"/>
        <w:textAlignment w:val="auto"/>
        <w:rPr>
          <w:rFonts w:hint="eastAsia" w:ascii="彩虹粗仿宋" w:eastAsia="彩虹粗仿宋"/>
          <w:color w:val="auto"/>
          <w:sz w:val="32"/>
          <w:highlight w:val="none"/>
        </w:rPr>
      </w:pPr>
      <w:r>
        <w:rPr>
          <w:rFonts w:hint="eastAsia" w:ascii="彩虹粗仿宋" w:eastAsia="彩虹粗仿宋"/>
          <w:color w:val="auto"/>
          <w:sz w:val="32"/>
          <w:highlight w:val="none"/>
        </w:rPr>
        <w:t>因供应商原因发生火灾、高空坠落、野蛮施工、人员伤亡等涉及人身安全、财产损失或声誉风险类的事故，则终止协议。</w:t>
      </w:r>
    </w:p>
    <w:p>
      <w:pPr>
        <w:keepNext w:val="0"/>
        <w:keepLines w:val="0"/>
        <w:pageBreakBefore w:val="0"/>
        <w:widowControl w:val="0"/>
        <w:numPr>
          <w:ilvl w:val="0"/>
          <w:numId w:val="1"/>
        </w:numPr>
        <w:kinsoku/>
        <w:wordWrap/>
        <w:overflowPunct/>
        <w:topLinePunct w:val="0"/>
        <w:autoSpaceDE w:val="0"/>
        <w:autoSpaceDN w:val="0"/>
        <w:bidi w:val="0"/>
        <w:adjustRightInd w:val="0"/>
        <w:spacing w:line="587" w:lineRule="exact"/>
        <w:ind w:left="0" w:leftChars="0" w:firstLine="640" w:firstLineChars="200"/>
        <w:jc w:val="both"/>
        <w:textAlignment w:val="auto"/>
        <w:rPr>
          <w:rFonts w:hint="eastAsia" w:ascii="彩虹粗仿宋" w:eastAsia="彩虹粗仿宋"/>
          <w:color w:val="auto"/>
          <w:sz w:val="32"/>
          <w:highlight w:val="none"/>
        </w:rPr>
      </w:pPr>
      <w:r>
        <w:rPr>
          <w:rFonts w:hint="eastAsia" w:ascii="彩虹粗仿宋" w:hAnsi="Times New Roman" w:eastAsia="彩虹粗仿宋"/>
          <w:color w:val="auto"/>
          <w:kern w:val="0"/>
          <w:sz w:val="32"/>
          <w:szCs w:val="32"/>
          <w:highlight w:val="none"/>
        </w:rPr>
        <w:t>供应商在履约期间出现账户被冻结、查封或其他无法正常生产经营等异常状况，</w:t>
      </w:r>
      <w:r>
        <w:rPr>
          <w:rFonts w:hint="eastAsia" w:ascii="彩虹粗仿宋" w:eastAsia="彩虹粗仿宋"/>
          <w:color w:val="auto"/>
          <w:sz w:val="32"/>
          <w:highlight w:val="none"/>
        </w:rPr>
        <w:t>我行有权终止协议。</w:t>
      </w:r>
    </w:p>
    <w:p>
      <w:pPr>
        <w:keepNext w:val="0"/>
        <w:keepLines w:val="0"/>
        <w:pageBreakBefore w:val="0"/>
        <w:widowControl w:val="0"/>
        <w:numPr>
          <w:ilvl w:val="0"/>
          <w:numId w:val="1"/>
        </w:numPr>
        <w:kinsoku/>
        <w:wordWrap/>
        <w:overflowPunct/>
        <w:topLinePunct w:val="0"/>
        <w:autoSpaceDE w:val="0"/>
        <w:autoSpaceDN w:val="0"/>
        <w:bidi w:val="0"/>
        <w:adjustRightInd w:val="0"/>
        <w:spacing w:line="587" w:lineRule="exact"/>
        <w:ind w:left="0" w:leftChars="0" w:firstLine="640" w:firstLineChars="200"/>
        <w:jc w:val="both"/>
        <w:textAlignment w:val="auto"/>
        <w:rPr>
          <w:rFonts w:hint="eastAsia" w:ascii="彩虹粗仿宋" w:eastAsia="彩虹粗仿宋"/>
          <w:color w:val="auto"/>
          <w:sz w:val="32"/>
          <w:highlight w:val="none"/>
        </w:rPr>
      </w:pPr>
      <w:r>
        <w:rPr>
          <w:rFonts w:hint="eastAsia" w:ascii="彩虹粗仿宋" w:eastAsia="彩虹粗仿宋"/>
          <w:color w:val="auto"/>
          <w:sz w:val="32"/>
          <w:highlight w:val="none"/>
        </w:rPr>
        <w:t>供应商应强化员工行为管理，供应商员工个人行为触及我行人身安全、财产损失或声誉风险时，则终止供应商协议。</w:t>
      </w:r>
    </w:p>
    <w:p>
      <w:pPr>
        <w:keepNext w:val="0"/>
        <w:keepLines w:val="0"/>
        <w:pageBreakBefore w:val="0"/>
        <w:widowControl w:val="0"/>
        <w:kinsoku/>
        <w:wordWrap/>
        <w:overflowPunct/>
        <w:topLinePunct w:val="0"/>
        <w:bidi w:val="0"/>
        <w:spacing w:line="587" w:lineRule="exact"/>
        <w:ind w:firstLine="640" w:firstLineChars="200"/>
        <w:jc w:val="both"/>
        <w:textAlignment w:val="auto"/>
        <w:rPr>
          <w:rFonts w:hint="eastAsia" w:ascii="彩虹粗仿宋" w:eastAsia="彩虹粗仿宋" w:cs="宋体"/>
          <w:color w:val="auto"/>
          <w:sz w:val="32"/>
          <w:szCs w:val="32"/>
          <w:highlight w:val="none"/>
          <w:lang w:eastAsia="zh-CN"/>
        </w:rPr>
      </w:pPr>
      <w:r>
        <w:rPr>
          <w:rFonts w:hint="eastAsia" w:ascii="彩虹粗仿宋" w:eastAsia="彩虹粗仿宋" w:cs="宋体"/>
          <w:color w:val="auto"/>
          <w:sz w:val="32"/>
          <w:szCs w:val="32"/>
          <w:highlight w:val="none"/>
        </w:rPr>
        <w:t>（</w:t>
      </w:r>
      <w:r>
        <w:rPr>
          <w:rFonts w:hint="eastAsia" w:ascii="彩虹粗仿宋" w:eastAsia="彩虹粗仿宋" w:cs="宋体"/>
          <w:color w:val="auto"/>
          <w:sz w:val="32"/>
          <w:szCs w:val="32"/>
          <w:highlight w:val="none"/>
          <w:lang w:eastAsia="zh-CN"/>
        </w:rPr>
        <w:t>十一</w:t>
      </w:r>
      <w:r>
        <w:rPr>
          <w:rFonts w:hint="eastAsia" w:ascii="彩虹粗仿宋" w:eastAsia="彩虹粗仿宋" w:cs="宋体"/>
          <w:color w:val="auto"/>
          <w:sz w:val="32"/>
          <w:szCs w:val="32"/>
          <w:highlight w:val="none"/>
        </w:rPr>
        <w:t>）参照《营业网点及办公用房零星修缮供应商履约执行评价表》，协议期限内对入选供应商履约服务情况进行评价，协议期限内供应商承接项目累计扣分达20分（含）的，即终止合同，由备选供应商承接后续项目</w:t>
      </w:r>
      <w:r>
        <w:rPr>
          <w:rFonts w:hint="eastAsia" w:ascii="彩虹粗仿宋" w:eastAsia="彩虹粗仿宋" w:cs="宋体"/>
          <w:color w:val="auto"/>
          <w:sz w:val="32"/>
          <w:szCs w:val="32"/>
          <w:highlight w:val="none"/>
          <w:lang w:eastAsia="zh-CN"/>
        </w:rPr>
        <w:t>。</w:t>
      </w:r>
    </w:p>
    <w:p>
      <w:pPr>
        <w:keepNext w:val="0"/>
        <w:keepLines w:val="0"/>
        <w:pageBreakBefore w:val="0"/>
        <w:kinsoku/>
        <w:wordWrap/>
        <w:overflowPunct/>
        <w:topLinePunct w:val="0"/>
        <w:bidi w:val="0"/>
        <w:spacing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营业网点及办公用房零星修缮供应商履约执行评价表</w:t>
      </w:r>
    </w:p>
    <w:tbl>
      <w:tblPr>
        <w:tblStyle w:val="4"/>
        <w:tblpPr w:leftFromText="180" w:rightFromText="180" w:vertAnchor="text" w:horzAnchor="margin" w:tblpY="5"/>
        <w:tblW w:w="8525" w:type="dxa"/>
        <w:tblInd w:w="0" w:type="dxa"/>
        <w:tblLayout w:type="autofit"/>
        <w:tblCellMar>
          <w:top w:w="0" w:type="dxa"/>
          <w:left w:w="0" w:type="dxa"/>
          <w:bottom w:w="0" w:type="dxa"/>
          <w:right w:w="0" w:type="dxa"/>
        </w:tblCellMar>
      </w:tblPr>
      <w:tblGrid>
        <w:gridCol w:w="780"/>
        <w:gridCol w:w="1060"/>
        <w:gridCol w:w="3709"/>
        <w:gridCol w:w="2268"/>
        <w:gridCol w:w="708"/>
      </w:tblGrid>
      <w:tr>
        <w:tblPrEx>
          <w:tblCellMar>
            <w:top w:w="0" w:type="dxa"/>
            <w:left w:w="0" w:type="dxa"/>
            <w:bottom w:w="0" w:type="dxa"/>
            <w:right w:w="0" w:type="dxa"/>
          </w:tblCellMar>
        </w:tblPrEx>
        <w:trPr>
          <w:trHeight w:val="400" w:hRule="atLeast"/>
        </w:trPr>
        <w:tc>
          <w:tcPr>
            <w:tcW w:w="780"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序号</w:t>
            </w:r>
          </w:p>
        </w:tc>
        <w:tc>
          <w:tcPr>
            <w:tcW w:w="1060"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评分维度</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评分指标</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规则</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扣分</w:t>
            </w:r>
          </w:p>
        </w:tc>
      </w:tr>
      <w:tr>
        <w:tblPrEx>
          <w:tblCellMar>
            <w:top w:w="0" w:type="dxa"/>
            <w:left w:w="0" w:type="dxa"/>
            <w:bottom w:w="0" w:type="dxa"/>
            <w:right w:w="0" w:type="dxa"/>
          </w:tblCellMar>
        </w:tblPrEx>
        <w:trPr>
          <w:trHeight w:val="428" w:hRule="atLeast"/>
        </w:trPr>
        <w:tc>
          <w:tcPr>
            <w:tcW w:w="780" w:type="dxa"/>
            <w:vMerge w:val="restart"/>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1</w:t>
            </w:r>
          </w:p>
        </w:tc>
        <w:tc>
          <w:tcPr>
            <w:tcW w:w="1060" w:type="dxa"/>
            <w:vMerge w:val="restart"/>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安全管理</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发生火灾、高空坠落、漏电等安全事故造成人员伤亡或财产损失</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每次扣20分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98" w:hRule="atLeast"/>
        </w:trPr>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p>
        </w:tc>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违反动火动焊、高空作业、用电管理等安全规定未造成人员伤亡或财产损失</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每次扣10分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68" w:hRule="atLeast"/>
        </w:trPr>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p>
        </w:tc>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未按规定佩戴安全帽、抽烟等其他违反施工安全规范的情形</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每次扣5分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70" w:hRule="atLeast"/>
        </w:trPr>
        <w:tc>
          <w:tcPr>
            <w:tcW w:w="780" w:type="dxa"/>
            <w:vMerge w:val="restart"/>
            <w:tcBorders>
              <w:top w:val="single" w:color="080000" w:sz="4" w:space="0"/>
              <w:left w:val="single" w:color="080000" w:sz="4" w:space="0"/>
              <w:bottom w:val="single" w:color="00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2</w:t>
            </w:r>
          </w:p>
        </w:tc>
        <w:tc>
          <w:tcPr>
            <w:tcW w:w="1060" w:type="dxa"/>
            <w:vMerge w:val="restart"/>
            <w:tcBorders>
              <w:top w:val="single" w:color="080000" w:sz="4" w:space="0"/>
              <w:left w:val="single" w:color="080000" w:sz="4" w:space="0"/>
              <w:bottom w:val="single" w:color="00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外部监督管理</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项目施工期间发生施工单位员工违法违纪事件，公安机关已立案侦查，对我行造成声誉风险</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每次扣40分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68" w:hRule="atLeast"/>
        </w:trPr>
        <w:tc>
          <w:tcPr>
            <w:tcW w:w="0" w:type="auto"/>
            <w:vMerge w:val="continue"/>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p>
        </w:tc>
        <w:tc>
          <w:tcPr>
            <w:tcW w:w="0" w:type="auto"/>
            <w:vMerge w:val="continue"/>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公安、城管、住建、金融监管等部门对项目进行处罚</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每次扣20分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68" w:hRule="atLeast"/>
        </w:trPr>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p>
        </w:tc>
        <w:tc>
          <w:tcPr>
            <w:tcW w:w="0" w:type="auto"/>
            <w:vMerge w:val="continue"/>
            <w:tcBorders>
              <w:top w:val="single" w:color="080000" w:sz="4" w:space="0"/>
              <w:left w:val="single" w:color="080000" w:sz="4" w:space="0"/>
              <w:bottom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公安、城管、住建、金融监管等部门对项目进行批评或口头警告</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每次扣10分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　</w:t>
            </w:r>
          </w:p>
        </w:tc>
      </w:tr>
      <w:tr>
        <w:tblPrEx>
          <w:tblCellMar>
            <w:top w:w="0" w:type="dxa"/>
            <w:left w:w="0" w:type="dxa"/>
            <w:bottom w:w="0" w:type="dxa"/>
            <w:right w:w="0" w:type="dxa"/>
          </w:tblCellMar>
        </w:tblPrEx>
        <w:trPr>
          <w:trHeight w:val="668" w:hRule="atLeast"/>
        </w:trPr>
        <w:tc>
          <w:tcPr>
            <w:tcW w:w="0" w:type="auto"/>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3</w:t>
            </w:r>
          </w:p>
        </w:tc>
        <w:tc>
          <w:tcPr>
            <w:tcW w:w="0" w:type="auto"/>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4"/>
                <w:sz w:val="24"/>
                <w:szCs w:val="24"/>
                <w:highlight w:val="none"/>
              </w:rPr>
              <w:t>进度管理</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零星修缮施工时间超计划时间</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left"/>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按照各施工节点对应的计划天数与实际天数对比，每超1天扣1分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auto"/>
                <w:kern w:val="24"/>
                <w:sz w:val="24"/>
                <w:szCs w:val="24"/>
                <w:highlight w:val="none"/>
              </w:rPr>
            </w:pPr>
          </w:p>
        </w:tc>
      </w:tr>
      <w:tr>
        <w:tblPrEx>
          <w:tblCellMar>
            <w:top w:w="0" w:type="dxa"/>
            <w:left w:w="0" w:type="dxa"/>
            <w:bottom w:w="0" w:type="dxa"/>
            <w:right w:w="0" w:type="dxa"/>
          </w:tblCellMar>
        </w:tblPrEx>
        <w:trPr>
          <w:trHeight w:val="668" w:hRule="atLeast"/>
        </w:trPr>
        <w:tc>
          <w:tcPr>
            <w:tcW w:w="0" w:type="auto"/>
            <w:vMerge w:val="restart"/>
            <w:tcBorders>
              <w:top w:val="single" w:color="080000" w:sz="4" w:space="0"/>
              <w:left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4</w:t>
            </w:r>
          </w:p>
        </w:tc>
        <w:tc>
          <w:tcPr>
            <w:tcW w:w="0" w:type="auto"/>
            <w:vMerge w:val="restart"/>
            <w:tcBorders>
              <w:top w:val="single" w:color="080000" w:sz="4" w:space="0"/>
              <w:left w:val="single" w:color="08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质量管理</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未按我行规定或指定的主辅材品牌及规格、国家现行规范或工艺要求施工，施工质量不达标</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每次扣5分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p>
        </w:tc>
      </w:tr>
      <w:tr>
        <w:tblPrEx>
          <w:tblCellMar>
            <w:top w:w="0" w:type="dxa"/>
            <w:left w:w="0" w:type="dxa"/>
            <w:bottom w:w="0" w:type="dxa"/>
            <w:right w:w="0" w:type="dxa"/>
          </w:tblCellMar>
        </w:tblPrEx>
        <w:trPr>
          <w:trHeight w:val="668" w:hRule="atLeast"/>
        </w:trPr>
        <w:tc>
          <w:tcPr>
            <w:tcW w:w="0" w:type="auto"/>
            <w:vMerge w:val="continue"/>
            <w:tcBorders>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p>
        </w:tc>
        <w:tc>
          <w:tcPr>
            <w:tcW w:w="0" w:type="auto"/>
            <w:vMerge w:val="continue"/>
            <w:tcBorders>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施工流程与施工工艺不熟练，存在项目整改、翻工的情况</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每次扣5分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p>
        </w:tc>
      </w:tr>
      <w:tr>
        <w:tblPrEx>
          <w:tblCellMar>
            <w:top w:w="0" w:type="dxa"/>
            <w:left w:w="0" w:type="dxa"/>
            <w:bottom w:w="0" w:type="dxa"/>
            <w:right w:w="0" w:type="dxa"/>
          </w:tblCellMar>
        </w:tblPrEx>
        <w:trPr>
          <w:trHeight w:val="668" w:hRule="atLeast"/>
        </w:trPr>
        <w:tc>
          <w:tcPr>
            <w:tcW w:w="0" w:type="auto"/>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5</w:t>
            </w:r>
          </w:p>
        </w:tc>
        <w:tc>
          <w:tcPr>
            <w:tcW w:w="0" w:type="auto"/>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组织管理</w:t>
            </w:r>
          </w:p>
        </w:tc>
        <w:tc>
          <w:tcPr>
            <w:tcW w:w="3709"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管理能力不足，响应及时性不足，以及影响工程质效的其他情形</w:t>
            </w:r>
          </w:p>
        </w:tc>
        <w:tc>
          <w:tcPr>
            <w:tcW w:w="226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left"/>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rPr>
              <w:t>按照实际情况酌情扣分，每次扣1-5分</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p>
        </w:tc>
      </w:tr>
      <w:tr>
        <w:tblPrEx>
          <w:tblCellMar>
            <w:top w:w="0" w:type="dxa"/>
            <w:left w:w="0" w:type="dxa"/>
            <w:bottom w:w="0" w:type="dxa"/>
            <w:right w:w="0" w:type="dxa"/>
          </w:tblCellMar>
        </w:tblPrEx>
        <w:trPr>
          <w:trHeight w:val="439" w:hRule="atLeast"/>
        </w:trPr>
        <w:tc>
          <w:tcPr>
            <w:tcW w:w="7817" w:type="dxa"/>
            <w:gridSpan w:val="4"/>
            <w:tcBorders>
              <w:top w:val="single" w:color="080000" w:sz="4" w:space="0"/>
              <w:left w:val="single" w:color="080000" w:sz="4" w:space="0"/>
              <w:bottom w:val="single" w:color="000000" w:sz="4" w:space="0"/>
              <w:right w:val="single" w:color="080000" w:sz="4"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24"/>
                <w:sz w:val="24"/>
                <w:szCs w:val="24"/>
              </w:rPr>
            </w:pPr>
            <w:r>
              <w:rPr>
                <w:rFonts w:hint="eastAsia" w:ascii="宋体" w:hAnsi="宋体" w:eastAsia="宋体" w:cs="宋体"/>
                <w:kern w:val="0"/>
                <w:sz w:val="24"/>
                <w:szCs w:val="24"/>
              </w:rPr>
              <w:t>合计</w:t>
            </w:r>
          </w:p>
        </w:tc>
        <w:tc>
          <w:tcPr>
            <w:tcW w:w="708" w:type="dxa"/>
            <w:tcBorders>
              <w:top w:val="single" w:color="080000" w:sz="4" w:space="0"/>
              <w:left w:val="single" w:color="080000" w:sz="4" w:space="0"/>
              <w:bottom w:val="single" w:color="080000" w:sz="4" w:space="0"/>
              <w:right w:val="single" w:color="080000" w:sz="4" w:space="0"/>
            </w:tcBorders>
            <w:noWrap w:val="0"/>
            <w:tcMar>
              <w:top w:w="20" w:type="dxa"/>
              <w:left w:w="20" w:type="dxa"/>
              <w:bottom w:w="72" w:type="dxa"/>
              <w:right w:w="20" w:type="dxa"/>
            </w:tcMar>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24"/>
                <w:sz w:val="24"/>
                <w:szCs w:val="24"/>
              </w:rPr>
            </w:pPr>
          </w:p>
        </w:tc>
      </w:tr>
    </w:tbl>
    <w:p>
      <w:pPr>
        <w:keepNext w:val="0"/>
        <w:keepLines w:val="0"/>
        <w:pageBreakBefore w:val="0"/>
        <w:widowControl w:val="0"/>
        <w:kinsoku/>
        <w:wordWrap/>
        <w:overflowPunct/>
        <w:topLinePunct w:val="0"/>
        <w:autoSpaceDE w:val="0"/>
        <w:autoSpaceDN w:val="0"/>
        <w:bidi w:val="0"/>
        <w:adjustRightInd w:val="0"/>
        <w:snapToGrid w:val="0"/>
        <w:spacing w:line="587" w:lineRule="exact"/>
        <w:jc w:val="both"/>
        <w:textAlignment w:val="auto"/>
        <w:rPr>
          <w:rFonts w:hint="eastAsia" w:ascii="彩虹黑体" w:hAnsi="宋体" w:eastAsia="彩虹黑体"/>
          <w:b/>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2" w:firstLineChars="200"/>
        <w:jc w:val="both"/>
        <w:textAlignment w:val="auto"/>
        <w:rPr>
          <w:rFonts w:ascii="彩虹黑体" w:hAnsi="宋体" w:eastAsia="彩虹黑体" w:cs="Times New Roman"/>
          <w:b/>
          <w:sz w:val="32"/>
          <w:szCs w:val="32"/>
        </w:rPr>
      </w:pPr>
      <w:r>
        <w:rPr>
          <w:rFonts w:hint="eastAsia" w:ascii="彩虹黑体" w:hAnsi="宋体" w:eastAsia="彩虹黑体"/>
          <w:b/>
          <w:sz w:val="32"/>
          <w:szCs w:val="32"/>
        </w:rPr>
        <w:t>三、报价要求</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hint="eastAsia" w:ascii="彩虹粗仿宋" w:hAnsi="宋体" w:eastAsia="彩虹粗仿宋"/>
          <w:sz w:val="32"/>
          <w:szCs w:val="32"/>
        </w:rPr>
      </w:pPr>
      <w:r>
        <w:rPr>
          <w:rFonts w:hint="eastAsia" w:ascii="彩虹粗仿宋" w:hAnsi="宋体" w:eastAsia="彩虹粗仿宋"/>
          <w:sz w:val="32"/>
          <w:szCs w:val="32"/>
        </w:rPr>
        <w:t>（一）供应商应认真填写《项目报价单》中所列的</w:t>
      </w:r>
      <w:r>
        <w:rPr>
          <w:rFonts w:hint="eastAsia" w:ascii="彩虹粗仿宋" w:hAnsi="宋体" w:eastAsia="彩虹粗仿宋" w:cs="宋体"/>
          <w:b/>
          <w:bCs/>
          <w:sz w:val="32"/>
          <w:szCs w:val="32"/>
        </w:rPr>
        <w:t>项目总价折扣、增值税率等</w:t>
      </w:r>
      <w:r>
        <w:rPr>
          <w:rFonts w:hint="eastAsia" w:ascii="彩虹粗仿宋" w:hAnsi="宋体" w:eastAsia="彩虹粗仿宋"/>
          <w:sz w:val="32"/>
          <w:szCs w:val="32"/>
        </w:rPr>
        <w:t>栏位。</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87" w:lineRule="exact"/>
        <w:ind w:left="0" w:leftChars="0" w:firstLine="640" w:firstLineChars="200"/>
        <w:jc w:val="both"/>
        <w:textAlignment w:val="auto"/>
        <w:rPr>
          <w:rFonts w:hint="eastAsia" w:ascii="彩虹粗仿宋" w:hAnsi="宋体" w:eastAsia="彩虹粗仿宋" w:cs="Times New Roman"/>
          <w:kern w:val="2"/>
          <w:sz w:val="32"/>
          <w:szCs w:val="32"/>
          <w:lang w:val="en-US" w:eastAsia="zh-CN" w:bidi="ar-SA"/>
        </w:rPr>
      </w:pPr>
      <w:r>
        <w:rPr>
          <w:rFonts w:hint="eastAsia" w:ascii="彩虹粗仿宋" w:hAnsi="宋体" w:eastAsia="彩虹粗仿宋" w:cs="Times New Roman"/>
          <w:kern w:val="2"/>
          <w:sz w:val="32"/>
          <w:szCs w:val="32"/>
          <w:lang w:val="en-US" w:eastAsia="zh-CN" w:bidi="ar-SA"/>
        </w:rPr>
        <w:t>（二）具体工程数量以来宾分行实际需求为准，招标人不能保证入围供应商所承接的工程的下单金额、订单数量与预算金额、预测订单数量一致，供应商报价时需充分考虑该因素。</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w:t>
      </w:r>
      <w:r>
        <w:rPr>
          <w:rFonts w:hint="eastAsia" w:ascii="彩虹粗仿宋" w:hAnsi="宋体" w:eastAsia="彩虹粗仿宋"/>
          <w:sz w:val="32"/>
          <w:szCs w:val="32"/>
          <w:lang w:val="en-US" w:eastAsia="zh-CN"/>
        </w:rPr>
        <w:t>三</w:t>
      </w:r>
      <w:r>
        <w:rPr>
          <w:rFonts w:hint="eastAsia" w:ascii="彩虹粗仿宋" w:hAnsi="宋体" w:eastAsia="彩虹粗仿宋"/>
          <w:sz w:val="32"/>
          <w:szCs w:val="32"/>
        </w:rPr>
        <w:t>）列明维修项目工程的保修期。</w:t>
      </w:r>
    </w:p>
    <w:p>
      <w:pPr>
        <w:keepNext w:val="0"/>
        <w:keepLines w:val="0"/>
        <w:pageBreakBefore w:val="0"/>
        <w:widowControl/>
        <w:kinsoku/>
        <w:wordWrap/>
        <w:overflowPunct/>
        <w:topLinePunct w:val="0"/>
        <w:bidi w:val="0"/>
        <w:jc w:val="center"/>
        <w:textAlignment w:val="auto"/>
        <w:rPr>
          <w:rFonts w:hint="eastAsia" w:ascii="宋体" w:hAnsi="宋体" w:eastAsia="宋体" w:cs="宋体"/>
          <w:sz w:val="24"/>
          <w:szCs w:val="24"/>
        </w:rPr>
      </w:pPr>
      <w:r>
        <w:rPr>
          <w:rFonts w:hint="eastAsia" w:ascii="宋体" w:hAnsi="宋体" w:eastAsia="宋体" w:cs="宋体"/>
          <w:sz w:val="24"/>
          <w:szCs w:val="24"/>
        </w:rPr>
        <w:t>项目报价单</w:t>
      </w:r>
    </w:p>
    <w:tbl>
      <w:tblPr>
        <w:tblStyle w:val="4"/>
        <w:tblW w:w="8742" w:type="dxa"/>
        <w:tblInd w:w="108" w:type="dxa"/>
        <w:tblLayout w:type="fixed"/>
        <w:tblCellMar>
          <w:top w:w="0" w:type="dxa"/>
          <w:left w:w="108" w:type="dxa"/>
          <w:bottom w:w="0" w:type="dxa"/>
          <w:right w:w="108" w:type="dxa"/>
        </w:tblCellMar>
      </w:tblPr>
      <w:tblGrid>
        <w:gridCol w:w="960"/>
        <w:gridCol w:w="960"/>
        <w:gridCol w:w="960"/>
        <w:gridCol w:w="876"/>
        <w:gridCol w:w="4986"/>
      </w:tblGrid>
      <w:tr>
        <w:tblPrEx>
          <w:tblCellMar>
            <w:top w:w="0" w:type="dxa"/>
            <w:left w:w="108" w:type="dxa"/>
            <w:bottom w:w="0" w:type="dxa"/>
            <w:right w:w="108" w:type="dxa"/>
          </w:tblCellMar>
        </w:tblPrEx>
        <w:trPr>
          <w:trHeight w:val="876" w:hRule="atLeast"/>
        </w:trPr>
        <w:tc>
          <w:tcPr>
            <w:tcW w:w="960" w:type="dxa"/>
            <w:tcBorders>
              <w:top w:val="single" w:color="auto" w:sz="8" w:space="0"/>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96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保修期</w:t>
            </w:r>
          </w:p>
        </w:tc>
        <w:tc>
          <w:tcPr>
            <w:tcW w:w="960"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项目总价折扣（%）</w:t>
            </w:r>
          </w:p>
        </w:tc>
        <w:tc>
          <w:tcPr>
            <w:tcW w:w="876" w:type="dxa"/>
            <w:tcBorders>
              <w:top w:val="single" w:color="auto" w:sz="8" w:space="0"/>
              <w:left w:val="nil"/>
              <w:bottom w:val="single" w:color="000000" w:sz="8" w:space="0"/>
              <w:right w:val="single" w:color="000000" w:sz="8"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增值税率（%）</w:t>
            </w:r>
          </w:p>
        </w:tc>
        <w:tc>
          <w:tcPr>
            <w:tcW w:w="4986" w:type="dxa"/>
            <w:tcBorders>
              <w:top w:val="single" w:color="auto" w:sz="8" w:space="0"/>
              <w:left w:val="nil"/>
              <w:bottom w:val="single" w:color="000000" w:sz="8" w:space="0"/>
              <w:right w:val="single" w:color="auto" w:sz="8" w:space="0"/>
            </w:tcBorders>
            <w:noWrap w:val="0"/>
            <w:vAlign w:val="center"/>
          </w:tcPr>
          <w:p>
            <w:pPr>
              <w:keepNext w:val="0"/>
              <w:keepLines w:val="0"/>
              <w:pageBreakBefore w:val="0"/>
              <w:widowControl/>
              <w:kinsoku/>
              <w:wordWrap/>
              <w:overflowPunct/>
              <w:topLinePunct w:val="0"/>
              <w:bidi w:val="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588" w:hRule="atLeast"/>
        </w:trPr>
        <w:tc>
          <w:tcPr>
            <w:tcW w:w="96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60"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76" w:type="dxa"/>
            <w:tcBorders>
              <w:top w:val="nil"/>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bidi w:val="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4986"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结算价格以造价咨询公司编制的预算或审定的结算为基准</w:t>
            </w:r>
            <w:r>
              <w:rPr>
                <w:rFonts w:hint="eastAsia" w:ascii="宋体" w:hAnsi="宋体" w:cs="宋体"/>
                <w:sz w:val="24"/>
                <w:szCs w:val="24"/>
                <w:lang w:eastAsia="zh-CN"/>
              </w:rPr>
              <w:t>。</w:t>
            </w:r>
          </w:p>
          <w:p>
            <w:pPr>
              <w:keepNext w:val="0"/>
              <w:keepLines w:val="0"/>
              <w:pageBreakBefore w:val="0"/>
              <w:kinsoku/>
              <w:wordWrap/>
              <w:overflowPunct/>
              <w:topLinePunct w:val="0"/>
              <w:bidi w:val="0"/>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注明：造价咨询公司审定结算价格=造价审定的维修项目预算或结算金额*折扣。</w:t>
            </w:r>
          </w:p>
          <w:p>
            <w:pPr>
              <w:keepNext w:val="0"/>
              <w:keepLines w:val="0"/>
              <w:pageBreakBefore w:val="0"/>
              <w:kinsoku/>
              <w:wordWrap/>
              <w:overflowPunct/>
              <w:topLinePunct w:val="0"/>
              <w:bidi w:val="0"/>
              <w:ind w:firstLine="240" w:firstLineChars="100"/>
              <w:jc w:val="left"/>
              <w:textAlignment w:val="auto"/>
              <w:rPr>
                <w:rFonts w:hint="eastAsia" w:ascii="宋体" w:hAnsi="宋体" w:eastAsia="宋体" w:cs="宋体"/>
                <w:sz w:val="24"/>
                <w:szCs w:val="24"/>
                <w:lang w:val="en-US" w:eastAsia="zh-CN"/>
              </w:rPr>
            </w:pPr>
          </w:p>
        </w:tc>
      </w:tr>
    </w:tbl>
    <w:p>
      <w:pPr>
        <w:keepNext w:val="0"/>
        <w:keepLines w:val="0"/>
        <w:pageBreakBefore w:val="0"/>
        <w:widowControl w:val="0"/>
        <w:kinsoku/>
        <w:wordWrap/>
        <w:overflowPunct/>
        <w:topLinePunct w:val="0"/>
        <w:autoSpaceDE w:val="0"/>
        <w:autoSpaceDN w:val="0"/>
        <w:bidi w:val="0"/>
        <w:adjustRightInd w:val="0"/>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w:t>
      </w:r>
      <w:r>
        <w:rPr>
          <w:rFonts w:hint="eastAsia" w:ascii="彩虹粗仿宋" w:hAnsi="宋体" w:eastAsia="彩虹粗仿宋"/>
          <w:sz w:val="32"/>
          <w:szCs w:val="32"/>
          <w:lang w:val="en-US" w:eastAsia="zh-CN"/>
        </w:rPr>
        <w:t>四</w:t>
      </w:r>
      <w:r>
        <w:rPr>
          <w:rFonts w:hint="eastAsia" w:ascii="彩虹粗仿宋" w:hAnsi="宋体" w:eastAsia="彩虹粗仿宋"/>
          <w:sz w:val="32"/>
          <w:szCs w:val="32"/>
        </w:rPr>
        <w:t>）候选供应商确认已经充分了解我行本次采购的服务地域范围，按照国家现执行的施工规范、本招标说明的其它要求，完成维修工程，符合国家相关质量安全标准、建行视觉形象要求、使用需求。</w:t>
      </w:r>
    </w:p>
    <w:p>
      <w:pPr>
        <w:keepNext w:val="0"/>
        <w:keepLines w:val="0"/>
        <w:pageBreakBefore w:val="0"/>
        <w:widowControl w:val="0"/>
        <w:kinsoku/>
        <w:wordWrap/>
        <w:overflowPunct/>
        <w:topLinePunct w:val="0"/>
        <w:autoSpaceDE w:val="0"/>
        <w:autoSpaceDN w:val="0"/>
        <w:bidi w:val="0"/>
        <w:adjustRightInd w:val="0"/>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w:t>
      </w:r>
      <w:r>
        <w:rPr>
          <w:rFonts w:hint="eastAsia" w:ascii="彩虹粗仿宋" w:hAnsi="宋体" w:eastAsia="彩虹粗仿宋"/>
          <w:sz w:val="32"/>
          <w:szCs w:val="32"/>
          <w:lang w:val="en-US" w:eastAsia="zh-CN"/>
        </w:rPr>
        <w:t>五</w:t>
      </w:r>
      <w:r>
        <w:rPr>
          <w:rFonts w:hint="eastAsia" w:ascii="彩虹粗仿宋" w:hAnsi="宋体" w:eastAsia="彩虹粗仿宋"/>
          <w:sz w:val="32"/>
          <w:szCs w:val="32"/>
        </w:rPr>
        <w:t>）承包方式：包工包料。</w:t>
      </w:r>
    </w:p>
    <w:p>
      <w:pPr>
        <w:keepNext w:val="0"/>
        <w:keepLines w:val="0"/>
        <w:pageBreakBefore w:val="0"/>
        <w:widowControl w:val="0"/>
        <w:kinsoku/>
        <w:wordWrap/>
        <w:overflowPunct/>
        <w:topLinePunct w:val="0"/>
        <w:autoSpaceDE w:val="0"/>
        <w:autoSpaceDN w:val="0"/>
        <w:bidi w:val="0"/>
        <w:adjustRightInd w:val="0"/>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w:t>
      </w:r>
      <w:r>
        <w:rPr>
          <w:rFonts w:hint="eastAsia" w:ascii="彩虹粗仿宋" w:hAnsi="宋体" w:eastAsia="彩虹粗仿宋"/>
          <w:sz w:val="32"/>
          <w:szCs w:val="32"/>
          <w:lang w:val="en-US" w:eastAsia="zh-CN"/>
        </w:rPr>
        <w:t>六</w:t>
      </w:r>
      <w:r>
        <w:rPr>
          <w:rFonts w:hint="eastAsia" w:ascii="彩虹粗仿宋" w:hAnsi="宋体" w:eastAsia="彩虹粗仿宋"/>
          <w:sz w:val="32"/>
          <w:szCs w:val="32"/>
        </w:rPr>
        <w:t>）报价中所报的价格已包括服务地域范围内市场监督、城管、建设及规划等相关管理报批费用,完成该工程项目的成本（包括施工设备、劳务、管理、材料、安装、维护、保险、交通维护以及材料、机械设备二次及以上运输费等）、利润、税金、开办费、技术措施费、大型机械进出场费、试验检测费、污水、废水、建筑垃圾处理费、内涝处理费、风险费、材料费等政策性文件规定费用所有费用。供应商所填报的折扣在合同实施期间风险范围内不因市场价格变化因素而变动，供应商在填报折扣时应考虑各种风险因素和自己的承受能力。</w:t>
      </w:r>
    </w:p>
    <w:p>
      <w:pPr>
        <w:keepNext w:val="0"/>
        <w:keepLines w:val="0"/>
        <w:pageBreakBefore w:val="0"/>
        <w:widowControl w:val="0"/>
        <w:kinsoku/>
        <w:wordWrap/>
        <w:overflowPunct/>
        <w:topLinePunct w:val="0"/>
        <w:bidi w:val="0"/>
        <w:snapToGrid/>
        <w:spacing w:line="587" w:lineRule="exact"/>
        <w:ind w:firstLine="629" w:firstLineChars="196"/>
        <w:jc w:val="both"/>
        <w:textAlignment w:val="auto"/>
        <w:rPr>
          <w:rFonts w:ascii="彩虹黑体" w:hAnsi="Times New Roman" w:eastAsia="彩虹黑体"/>
          <w:b/>
          <w:color w:val="000000"/>
          <w:sz w:val="32"/>
          <w:szCs w:val="32"/>
          <w:shd w:val="clear" w:color="auto" w:fill="FFFFFF"/>
        </w:rPr>
      </w:pPr>
      <w:r>
        <w:rPr>
          <w:rFonts w:hint="eastAsia" w:ascii="彩虹黑体" w:eastAsia="彩虹黑体"/>
          <w:b/>
          <w:color w:val="000000"/>
          <w:sz w:val="32"/>
          <w:szCs w:val="32"/>
          <w:shd w:val="clear" w:color="auto" w:fill="FFFFFF"/>
        </w:rPr>
        <w:t>四、施工要求</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（一）供应商自行对工程施工现场和周围环境进行勘察，承担勘察现场所发生的费用，并在建设单位下达订单2</w:t>
      </w:r>
      <w:r>
        <w:rPr>
          <w:rFonts w:ascii="彩虹粗仿宋" w:hAnsi="宋体" w:eastAsia="彩虹粗仿宋"/>
          <w:sz w:val="32"/>
          <w:szCs w:val="32"/>
        </w:rPr>
        <w:t>4</w:t>
      </w:r>
      <w:r>
        <w:rPr>
          <w:rFonts w:hint="eastAsia" w:ascii="彩虹粗仿宋" w:hAnsi="宋体" w:eastAsia="彩虹粗仿宋"/>
          <w:sz w:val="32"/>
          <w:szCs w:val="32"/>
        </w:rPr>
        <w:t>小时内到达现场开展维修工作,维修周期由供应商和来宾分</w:t>
      </w:r>
      <w:r>
        <w:rPr>
          <w:rFonts w:ascii="彩虹粗仿宋" w:hAnsi="宋体" w:eastAsia="彩虹粗仿宋"/>
          <w:sz w:val="32"/>
          <w:szCs w:val="32"/>
        </w:rPr>
        <w:t>行</w:t>
      </w:r>
      <w:r>
        <w:rPr>
          <w:rFonts w:hint="eastAsia" w:ascii="彩虹粗仿宋" w:hAnsi="宋体" w:eastAsia="彩虹粗仿宋"/>
          <w:sz w:val="32"/>
          <w:szCs w:val="32"/>
        </w:rPr>
        <w:t>根据施工难度自行协商。</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宋体" w:eastAsia="彩虹粗仿宋"/>
          <w:sz w:val="32"/>
          <w:szCs w:val="32"/>
        </w:rPr>
        <w:t>（二）施工中不得造成原建筑、设施的任何结构损坏，若发生，一切责任和费用由施工方承担。</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ascii="彩虹粗仿宋" w:eastAsia="彩虹粗仿宋" w:cs="彩虹粗仿宋"/>
          <w:sz w:val="32"/>
          <w:szCs w:val="32"/>
        </w:rPr>
      </w:pPr>
      <w:r>
        <w:rPr>
          <w:rFonts w:hint="eastAsia" w:ascii="彩虹粗仿宋" w:eastAsia="彩虹粗仿宋" w:cs="彩虹粗仿宋"/>
          <w:sz w:val="32"/>
          <w:szCs w:val="32"/>
        </w:rPr>
        <w:t>（三）装修工程的所有木作工程必须按消防规定涂涮防火漆，因施工需要，不便于涂涮防火漆的木质基层板必须按消防规定浸涂防火水剂，提供防火漆、剂的采购合格文件备案。</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ascii="彩虹粗仿宋" w:hAnsi="Times New Roman" w:eastAsia="彩虹粗仿宋"/>
          <w:sz w:val="32"/>
          <w:szCs w:val="32"/>
        </w:rPr>
      </w:pPr>
      <w:r>
        <w:rPr>
          <w:rFonts w:hint="eastAsia" w:ascii="彩虹粗仿宋" w:eastAsia="彩虹粗仿宋" w:cs="彩虹粗仿宋"/>
          <w:sz w:val="32"/>
          <w:szCs w:val="32"/>
        </w:rPr>
        <w:t>（四）施工过程中涉及动火动焊的内容，需在施工前向来宾</w:t>
      </w:r>
      <w:r>
        <w:rPr>
          <w:rFonts w:ascii="彩虹粗仿宋" w:eastAsia="彩虹粗仿宋" w:cs="彩虹粗仿宋"/>
          <w:sz w:val="32"/>
          <w:szCs w:val="32"/>
        </w:rPr>
        <w:t>分</w:t>
      </w:r>
      <w:r>
        <w:rPr>
          <w:rFonts w:hint="eastAsia" w:ascii="彩虹粗仿宋" w:eastAsia="彩虹粗仿宋" w:cs="彩虹粗仿宋"/>
          <w:sz w:val="32"/>
          <w:szCs w:val="32"/>
        </w:rPr>
        <w:t>行相关需求管理部门提交办理动火动焊许可。未经许可，严禁在施工过程中进行动火动焊作业。</w:t>
      </w:r>
    </w:p>
    <w:p>
      <w:pPr>
        <w:keepNext w:val="0"/>
        <w:keepLines w:val="0"/>
        <w:pageBreakBefore w:val="0"/>
        <w:widowControl w:val="0"/>
        <w:kinsoku/>
        <w:wordWrap/>
        <w:overflowPunct/>
        <w:topLinePunct w:val="0"/>
        <w:bidi w:val="0"/>
        <w:snapToGrid/>
        <w:spacing w:line="587" w:lineRule="exact"/>
        <w:ind w:firstLine="629" w:firstLineChars="196"/>
        <w:jc w:val="both"/>
        <w:textAlignment w:val="auto"/>
        <w:rPr>
          <w:rFonts w:ascii="彩虹黑体" w:hAnsi="_5b8b_4f53" w:eastAsia="彩虹黑体"/>
          <w:b/>
          <w:color w:val="000000"/>
          <w:sz w:val="32"/>
          <w:szCs w:val="32"/>
          <w:shd w:val="clear" w:color="auto" w:fill="FFFFFF"/>
        </w:rPr>
      </w:pPr>
      <w:r>
        <w:rPr>
          <w:rFonts w:hint="eastAsia" w:ascii="彩虹黑体" w:hAnsi="_5b8b_4f53" w:eastAsia="彩虹黑体"/>
          <w:b/>
          <w:color w:val="000000"/>
          <w:sz w:val="32"/>
          <w:szCs w:val="32"/>
          <w:shd w:val="clear" w:color="auto" w:fill="FFFFFF"/>
        </w:rPr>
        <w:t>五、保修期</w:t>
      </w:r>
    </w:p>
    <w:p>
      <w:pPr>
        <w:keepNext w:val="0"/>
        <w:keepLines w:val="0"/>
        <w:pageBreakBefore w:val="0"/>
        <w:widowControl w:val="0"/>
        <w:kinsoku/>
        <w:wordWrap/>
        <w:overflowPunct/>
        <w:topLinePunct w:val="0"/>
        <w:bidi w:val="0"/>
        <w:snapToGrid/>
        <w:spacing w:line="587" w:lineRule="exact"/>
        <w:ind w:firstLine="627" w:firstLineChars="196"/>
        <w:jc w:val="both"/>
        <w:textAlignment w:val="auto"/>
        <w:rPr>
          <w:rFonts w:hint="eastAsia" w:ascii="彩虹粗仿宋" w:hAnsi="宋体" w:eastAsia="彩虹粗仿宋"/>
          <w:sz w:val="32"/>
          <w:szCs w:val="32"/>
        </w:rPr>
      </w:pPr>
      <w:r>
        <w:rPr>
          <w:rFonts w:hint="eastAsia" w:ascii="彩虹粗仿宋" w:hAnsi="宋体" w:eastAsia="彩虹粗仿宋"/>
          <w:sz w:val="32"/>
          <w:szCs w:val="32"/>
        </w:rPr>
        <w:t>视外部监管验收（如需）或我行相关单位验收的时间，以最晚日起算，防水工程保修期不低于60个月、其他工程保修期不低于</w:t>
      </w:r>
      <w:r>
        <w:rPr>
          <w:rFonts w:ascii="彩虹粗仿宋" w:hAnsi="宋体" w:eastAsia="彩虹粗仿宋"/>
          <w:sz w:val="32"/>
          <w:szCs w:val="32"/>
        </w:rPr>
        <w:t>24</w:t>
      </w:r>
      <w:r>
        <w:rPr>
          <w:rFonts w:hint="eastAsia" w:ascii="彩虹粗仿宋" w:hAnsi="宋体" w:eastAsia="彩虹粗仿宋"/>
          <w:sz w:val="32"/>
          <w:szCs w:val="32"/>
        </w:rPr>
        <w:t>个月，国家另有规定的，从其规定。</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hint="eastAsia" w:ascii="彩虹粗仿宋" w:hAnsi="宋体" w:eastAsia="彩虹粗仿宋"/>
          <w:sz w:val="32"/>
          <w:szCs w:val="32"/>
        </w:rPr>
      </w:pPr>
      <w:r>
        <w:rPr>
          <w:rFonts w:hint="eastAsia" w:ascii="彩虹粗仿宋" w:hAnsi="宋体" w:eastAsia="彩虹粗仿宋"/>
          <w:sz w:val="32"/>
          <w:szCs w:val="32"/>
        </w:rPr>
        <w:t>（一）项目质保期内出现问题应在0.5小时内电话响应，2小时内实质性响应。</w:t>
      </w:r>
    </w:p>
    <w:p>
      <w:pPr>
        <w:keepNext w:val="0"/>
        <w:keepLines w:val="0"/>
        <w:pageBreakBefore w:val="0"/>
        <w:widowControl w:val="0"/>
        <w:kinsoku/>
        <w:wordWrap/>
        <w:overflowPunct/>
        <w:topLinePunct w:val="0"/>
        <w:bidi w:val="0"/>
        <w:snapToGrid/>
        <w:spacing w:line="587" w:lineRule="exact"/>
        <w:ind w:firstLine="640" w:firstLineChars="200"/>
        <w:jc w:val="both"/>
        <w:textAlignment w:val="auto"/>
        <w:rPr>
          <w:rFonts w:hint="eastAsia" w:ascii="彩虹粗仿宋" w:hAnsi="宋体" w:eastAsia="彩虹粗仿宋"/>
          <w:sz w:val="32"/>
          <w:szCs w:val="32"/>
        </w:rPr>
      </w:pPr>
      <w:r>
        <w:rPr>
          <w:rFonts w:hint="eastAsia" w:ascii="彩虹粗仿宋" w:hAnsi="宋体" w:eastAsia="彩虹粗仿宋"/>
          <w:sz w:val="32"/>
          <w:szCs w:val="32"/>
        </w:rPr>
        <w:t>（二）项目质保期内应提供7×24热线咨询服务，7×8小时现场服务。</w:t>
      </w:r>
    </w:p>
    <w:p>
      <w:pPr>
        <w:keepNext w:val="0"/>
        <w:keepLines w:val="0"/>
        <w:pageBreakBefore w:val="0"/>
        <w:widowControl w:val="0"/>
        <w:kinsoku/>
        <w:wordWrap/>
        <w:overflowPunct/>
        <w:topLinePunct w:val="0"/>
        <w:bidi w:val="0"/>
        <w:snapToGrid/>
        <w:spacing w:line="587" w:lineRule="exact"/>
        <w:ind w:firstLine="627" w:firstLineChars="196"/>
        <w:jc w:val="both"/>
        <w:textAlignment w:val="auto"/>
        <w:rPr>
          <w:rFonts w:hint="eastAsia" w:ascii="彩虹粗仿宋" w:hAnsi="宋体" w:eastAsia="彩虹粗仿宋"/>
          <w:sz w:val="32"/>
          <w:szCs w:val="32"/>
        </w:rPr>
      </w:pPr>
      <w:r>
        <w:rPr>
          <w:rFonts w:hint="eastAsia" w:ascii="彩虹粗仿宋" w:hAnsi="宋体" w:eastAsia="彩虹粗仿宋"/>
          <w:sz w:val="32"/>
          <w:szCs w:val="32"/>
        </w:rPr>
        <w:t>（三）项目质保期内出现问题如不能在36小时内排除，应提供免费更换服务。</w:t>
      </w:r>
    </w:p>
    <w:p>
      <w:pPr>
        <w:keepNext w:val="0"/>
        <w:keepLines w:val="0"/>
        <w:pageBreakBefore w:val="0"/>
        <w:widowControl w:val="0"/>
        <w:kinsoku/>
        <w:wordWrap/>
        <w:overflowPunct/>
        <w:topLinePunct w:val="0"/>
        <w:bidi w:val="0"/>
        <w:snapToGrid/>
        <w:spacing w:line="587" w:lineRule="exact"/>
        <w:ind w:firstLine="629" w:firstLineChars="196"/>
        <w:jc w:val="both"/>
        <w:textAlignment w:val="auto"/>
        <w:rPr>
          <w:rFonts w:ascii="彩虹黑体" w:hAnsi="彩虹粗仿宋" w:eastAsia="彩虹黑体"/>
          <w:sz w:val="32"/>
          <w:szCs w:val="32"/>
        </w:rPr>
      </w:pPr>
      <w:r>
        <w:rPr>
          <w:rFonts w:hint="eastAsia" w:ascii="彩虹黑体" w:hAnsi="彩虹粗仿宋" w:eastAsia="彩虹黑体"/>
          <w:b/>
          <w:sz w:val="32"/>
          <w:szCs w:val="32"/>
        </w:rPr>
        <w:t>六、结算方式及要求</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ascii="彩虹粗仿宋" w:hAnsi="宋体" w:eastAsia="彩虹粗仿宋"/>
          <w:sz w:val="32"/>
          <w:szCs w:val="32"/>
        </w:rPr>
      </w:pPr>
      <w:r>
        <w:rPr>
          <w:rFonts w:hint="eastAsia" w:ascii="彩虹粗仿宋" w:hAnsi="Calibri" w:eastAsia="彩虹粗仿宋" w:cs="宋体"/>
          <w:color w:val="000000"/>
          <w:sz w:val="32"/>
          <w:szCs w:val="32"/>
        </w:rPr>
        <w:t>（一）</w:t>
      </w:r>
      <w:r>
        <w:rPr>
          <w:rFonts w:hint="eastAsia" w:ascii="彩虹粗仿宋" w:eastAsia="彩虹粗仿宋" w:cs="宋体"/>
          <w:sz w:val="32"/>
          <w:szCs w:val="32"/>
        </w:rPr>
        <w:t>通过相应验收并满足使用需求后按</w:t>
      </w:r>
      <w:r>
        <w:rPr>
          <w:rFonts w:hint="eastAsia" w:ascii="彩虹粗仿宋" w:eastAsia="彩虹粗仿宋" w:cs="宋体"/>
          <w:sz w:val="32"/>
          <w:szCs w:val="32"/>
          <w:lang w:val="en-US" w:eastAsia="zh-CN"/>
        </w:rPr>
        <w:t>季</w:t>
      </w:r>
      <w:r>
        <w:rPr>
          <w:rFonts w:hint="eastAsia" w:ascii="彩虹粗仿宋" w:eastAsia="彩虹粗仿宋" w:cs="宋体"/>
          <w:sz w:val="32"/>
          <w:szCs w:val="32"/>
        </w:rPr>
        <w:t>汇总支付结算。</w:t>
      </w:r>
      <w:r>
        <w:rPr>
          <w:rFonts w:hint="eastAsia" w:ascii="彩虹粗仿宋" w:hAnsi="Times New Roman" w:eastAsia="彩虹粗仿宋" w:cs="宋体"/>
          <w:color w:val="0D0D0D"/>
          <w:kern w:val="0"/>
          <w:sz w:val="32"/>
          <w:szCs w:val="32"/>
        </w:rPr>
        <w:t>对于单笔预结算金额低于2万元（不含）的零星修缮订单，供应商需将多笔订单汇总，汇总后的预结算金额应在2万元（含）以上至10万元（不含）期间，提交造价公司审定。我行依据造价公司出具的结算文件与供应商完成支付结算。</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ascii="彩虹粗仿宋" w:hAnsi="Calibri" w:eastAsia="彩虹粗仿宋" w:cs="宋体"/>
          <w:color w:val="000000"/>
          <w:sz w:val="32"/>
          <w:szCs w:val="32"/>
        </w:rPr>
      </w:pPr>
      <w:r>
        <w:rPr>
          <w:rFonts w:hint="eastAsia" w:ascii="彩虹粗仿宋" w:hAnsi="Calibri" w:eastAsia="彩虹粗仿宋" w:cs="宋体"/>
          <w:color w:val="000000"/>
          <w:sz w:val="32"/>
          <w:szCs w:val="32"/>
        </w:rPr>
        <w:t>（二）中标供应商需向我行提供增值税专用发票。</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sz w:val="32"/>
          <w:szCs w:val="32"/>
        </w:rPr>
      </w:pPr>
    </w:p>
    <w:sectPr>
      <w:pgSz w:w="11906" w:h="16838"/>
      <w:pgMar w:top="1361" w:right="1588" w:bottom="136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_5b8b_4f53">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宋体-人口信息-P2">
    <w:panose1 w:val="03000509000000000000"/>
    <w:charset w:val="86"/>
    <w:family w:val="auto"/>
    <w:pitch w:val="default"/>
    <w:sig w:usb0="10002003" w:usb1="BB1E0800" w:usb2="000A004E" w:usb3="00000000" w:csb0="003C0041" w:csb1="A00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EE4A7"/>
    <w:multiLevelType w:val="singleLevel"/>
    <w:tmpl w:val="F5AEE4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isplayHorizontalDrawingGridEvery w:val="1"/>
  <w:displayVerticalDrawingGridEvery w:val="1"/>
  <w:characterSpacingControl w:val="doNotCompress"/>
  <w:compat>
    <w:doNotLeaveBackslashAlon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DM2ZDk2NDhmMzRjNjU0NTU1MDFhYmM3ZDA0YmMifQ=="/>
  </w:docVars>
  <w:rsids>
    <w:rsidRoot w:val="00C60BE2"/>
    <w:rsid w:val="00053958"/>
    <w:rsid w:val="000875DE"/>
    <w:rsid w:val="00123891"/>
    <w:rsid w:val="00225BDB"/>
    <w:rsid w:val="00252C36"/>
    <w:rsid w:val="002E7CAD"/>
    <w:rsid w:val="00326690"/>
    <w:rsid w:val="003B230C"/>
    <w:rsid w:val="003C79A3"/>
    <w:rsid w:val="00442012"/>
    <w:rsid w:val="005F5F5D"/>
    <w:rsid w:val="006311AC"/>
    <w:rsid w:val="00643DA7"/>
    <w:rsid w:val="006C17C8"/>
    <w:rsid w:val="00783B0F"/>
    <w:rsid w:val="00811D1D"/>
    <w:rsid w:val="008E1707"/>
    <w:rsid w:val="00921654"/>
    <w:rsid w:val="00942099"/>
    <w:rsid w:val="00A846B7"/>
    <w:rsid w:val="00C60BE2"/>
    <w:rsid w:val="00CA30D6"/>
    <w:rsid w:val="00CB4D6F"/>
    <w:rsid w:val="00DD2296"/>
    <w:rsid w:val="00E3618E"/>
    <w:rsid w:val="00E832D5"/>
    <w:rsid w:val="00F875C9"/>
    <w:rsid w:val="00FB28D1"/>
    <w:rsid w:val="037B371D"/>
    <w:rsid w:val="03DF1EFE"/>
    <w:rsid w:val="066E57BB"/>
    <w:rsid w:val="0C9B6BDE"/>
    <w:rsid w:val="0D1129FD"/>
    <w:rsid w:val="0F0F5662"/>
    <w:rsid w:val="0F55020A"/>
    <w:rsid w:val="10234F21"/>
    <w:rsid w:val="11E64458"/>
    <w:rsid w:val="12153EA8"/>
    <w:rsid w:val="1A1D4CF4"/>
    <w:rsid w:val="1A633C55"/>
    <w:rsid w:val="1CF00880"/>
    <w:rsid w:val="1E4A6A10"/>
    <w:rsid w:val="1EC65D3D"/>
    <w:rsid w:val="1EFB0E1B"/>
    <w:rsid w:val="20D23D87"/>
    <w:rsid w:val="223B5668"/>
    <w:rsid w:val="22E04639"/>
    <w:rsid w:val="283A50A6"/>
    <w:rsid w:val="29656152"/>
    <w:rsid w:val="29B844D4"/>
    <w:rsid w:val="2A0B4F4C"/>
    <w:rsid w:val="2B0A0D5F"/>
    <w:rsid w:val="2C36286E"/>
    <w:rsid w:val="312D1C4B"/>
    <w:rsid w:val="37A10C9D"/>
    <w:rsid w:val="37B564F7"/>
    <w:rsid w:val="3C01795C"/>
    <w:rsid w:val="41287C65"/>
    <w:rsid w:val="41C23CEA"/>
    <w:rsid w:val="43386FC8"/>
    <w:rsid w:val="434D7F2B"/>
    <w:rsid w:val="454D6E9F"/>
    <w:rsid w:val="46841EB6"/>
    <w:rsid w:val="47826C29"/>
    <w:rsid w:val="4EF13E61"/>
    <w:rsid w:val="50081462"/>
    <w:rsid w:val="50F9548D"/>
    <w:rsid w:val="51F92464"/>
    <w:rsid w:val="522E717A"/>
    <w:rsid w:val="534C0852"/>
    <w:rsid w:val="58F36CFA"/>
    <w:rsid w:val="5FFE6F1D"/>
    <w:rsid w:val="62EC4C13"/>
    <w:rsid w:val="633D0FCB"/>
    <w:rsid w:val="67184229"/>
    <w:rsid w:val="68951C23"/>
    <w:rsid w:val="6B5C4ABB"/>
    <w:rsid w:val="6ECB402E"/>
    <w:rsid w:val="6FEEDABD"/>
    <w:rsid w:val="733817AF"/>
    <w:rsid w:val="733F7AE3"/>
    <w:rsid w:val="73D39E6F"/>
    <w:rsid w:val="73D950BF"/>
    <w:rsid w:val="765468FF"/>
    <w:rsid w:val="76E41A31"/>
    <w:rsid w:val="771F2A69"/>
    <w:rsid w:val="77976AA4"/>
    <w:rsid w:val="7831514A"/>
    <w:rsid w:val="7F31EB98"/>
    <w:rsid w:val="7FFF435A"/>
    <w:rsid w:val="BFFB2C20"/>
    <w:rsid w:val="D2DF3D80"/>
    <w:rsid w:val="DC7F0A46"/>
    <w:rsid w:val="E9C7B697"/>
    <w:rsid w:val="EBFE9CB9"/>
    <w:rsid w:val="EDFF3BC6"/>
    <w:rsid w:val="F0BFFFD7"/>
    <w:rsid w:val="FAFFA8E4"/>
    <w:rsid w:val="FDF79D1F"/>
    <w:rsid w:val="FF55DF3B"/>
    <w:rsid w:val="FFB65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2206</Words>
  <Characters>2227</Characters>
  <Lines>9</Lines>
  <Paragraphs>2</Paragraphs>
  <TotalTime>209</TotalTime>
  <ScaleCrop>false</ScaleCrop>
  <LinksUpToDate>false</LinksUpToDate>
  <CharactersWithSpaces>2238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2019-04-03T00:10:00Z</dcterms:created>
  <dc:creator>Apache POI</dc:creator>
  <cp:lastModifiedBy>ccb</cp:lastModifiedBy>
  <dcterms:modified xsi:type="dcterms:W3CDTF">2026-07-02T18:40:19Z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BF46EBF85DB259CC973B466A4D10DB2A_43</vt:lpwstr>
  </property>
</Properties>
</file>