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87" w:lineRule="exact"/>
        <w:ind w:firstLine="880" w:firstLineChars="200"/>
        <w:jc w:val="both"/>
        <w:rPr>
          <w:rFonts w:hint="eastAsia" w:ascii="彩虹小标宋" w:hAnsi="宋体" w:eastAsia="彩虹小标宋" w:cs="Times New Roman"/>
          <w:bCs/>
          <w:snapToGrid w:val="0"/>
          <w:kern w:val="0"/>
          <w:sz w:val="44"/>
          <w:szCs w:val="44"/>
        </w:rPr>
      </w:pPr>
    </w:p>
    <w:p>
      <w:pPr>
        <w:keepNext w:val="0"/>
        <w:keepLines w:val="0"/>
        <w:pageBreakBefore w:val="0"/>
        <w:kinsoku/>
        <w:wordWrap/>
        <w:overflowPunct/>
        <w:topLinePunct w:val="0"/>
        <w:autoSpaceDE/>
        <w:autoSpaceDN/>
        <w:bidi w:val="0"/>
        <w:spacing w:line="587" w:lineRule="exact"/>
        <w:ind w:firstLine="880" w:firstLineChars="200"/>
        <w:jc w:val="both"/>
        <w:rPr>
          <w:rFonts w:ascii="彩虹小标宋" w:hAnsi="宋体" w:eastAsia="彩虹小标宋" w:cs="Times New Roman"/>
          <w:bCs/>
          <w:snapToGrid w:val="0"/>
          <w:kern w:val="0"/>
          <w:sz w:val="44"/>
          <w:szCs w:val="44"/>
        </w:rPr>
      </w:pPr>
      <w:r>
        <w:rPr>
          <w:rFonts w:hint="eastAsia" w:ascii="彩虹小标宋" w:hAnsi="宋体" w:eastAsia="彩虹小标宋" w:cs="Times New Roman"/>
          <w:bCs/>
          <w:snapToGrid w:val="0"/>
          <w:kern w:val="0"/>
          <w:sz w:val="44"/>
          <w:szCs w:val="44"/>
        </w:rPr>
        <w:t>现金清分整点外包服务采购需求</w:t>
      </w:r>
    </w:p>
    <w:p>
      <w:pPr>
        <w:keepNext w:val="0"/>
        <w:keepLines w:val="0"/>
        <w:pageBreakBefore w:val="0"/>
        <w:kinsoku/>
        <w:wordWrap/>
        <w:overflowPunct/>
        <w:topLinePunct w:val="0"/>
        <w:autoSpaceDE/>
        <w:autoSpaceDN/>
        <w:bidi w:val="0"/>
        <w:spacing w:line="587" w:lineRule="exact"/>
        <w:jc w:val="both"/>
        <w:rPr>
          <w:rFonts w:ascii="彩虹小标宋" w:hAnsi="宋体" w:eastAsia="彩虹小标宋" w:cs="Times New Roman"/>
          <w:bCs/>
          <w:snapToGrid w:val="0"/>
          <w:color w:val="FF0000"/>
          <w:kern w:val="0"/>
          <w:sz w:val="44"/>
          <w:szCs w:val="44"/>
        </w:rPr>
      </w:pP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黑体" w:hAnsi="彩虹黑体" w:eastAsia="彩虹黑体" w:cs="彩虹黑体"/>
          <w:b w:val="0"/>
          <w:bCs/>
          <w:snapToGrid w:val="0"/>
          <w:color w:val="auto"/>
          <w:kern w:val="0"/>
          <w:sz w:val="32"/>
          <w:szCs w:val="32"/>
        </w:rPr>
      </w:pPr>
      <w:r>
        <w:rPr>
          <w:rFonts w:hint="eastAsia" w:ascii="彩虹黑体" w:hAnsi="彩虹黑体" w:eastAsia="彩虹黑体" w:cs="彩虹黑体"/>
          <w:b w:val="0"/>
          <w:bCs w:val="0"/>
          <w:snapToGrid w:val="0"/>
          <w:color w:val="auto"/>
          <w:kern w:val="0"/>
          <w:sz w:val="32"/>
          <w:szCs w:val="32"/>
        </w:rPr>
        <w:t>一、</w:t>
      </w:r>
      <w:r>
        <w:rPr>
          <w:rFonts w:hint="eastAsia" w:ascii="彩虹黑体" w:hAnsi="彩虹黑体" w:eastAsia="彩虹黑体" w:cs="彩虹黑体"/>
          <w:b w:val="0"/>
          <w:bCs/>
          <w:snapToGrid w:val="0"/>
          <w:color w:val="auto"/>
          <w:kern w:val="0"/>
          <w:sz w:val="32"/>
          <w:szCs w:val="32"/>
          <w:lang w:eastAsia="zh-CN"/>
        </w:rPr>
        <w:t>采购</w:t>
      </w:r>
      <w:r>
        <w:rPr>
          <w:rFonts w:hint="eastAsia" w:ascii="彩虹黑体" w:hAnsi="彩虹黑体" w:eastAsia="彩虹黑体" w:cs="彩虹黑体"/>
          <w:b w:val="0"/>
          <w:bCs/>
          <w:snapToGrid w:val="0"/>
          <w:color w:val="auto"/>
          <w:kern w:val="0"/>
          <w:sz w:val="32"/>
          <w:szCs w:val="32"/>
        </w:rPr>
        <w:t>内容</w:t>
      </w:r>
    </w:p>
    <w:p>
      <w:pPr>
        <w:keepNext w:val="0"/>
        <w:keepLines w:val="0"/>
        <w:pageBreakBefore w:val="0"/>
        <w:numPr>
          <w:ilvl w:val="0"/>
          <w:numId w:val="0"/>
        </w:numPr>
        <w:kinsoku/>
        <w:wordWrap/>
        <w:overflowPunct/>
        <w:topLinePunct w:val="0"/>
        <w:autoSpaceDE/>
        <w:autoSpaceDN/>
        <w:bidi w:val="0"/>
        <w:spacing w:line="587" w:lineRule="exact"/>
        <w:ind w:firstLine="640" w:firstLineChars="200"/>
        <w:jc w:val="both"/>
        <w:rPr>
          <w:rFonts w:hint="eastAsia" w:ascii="彩虹粗仿宋" w:hAnsi="彩虹粗仿宋" w:eastAsia="彩虹粗仿宋" w:cs="彩虹粗仿宋"/>
          <w:color w:val="auto"/>
          <w:sz w:val="32"/>
          <w:szCs w:val="32"/>
          <w:lang w:val="en-US" w:eastAsia="zh-CN"/>
        </w:rPr>
      </w:pPr>
      <w:r>
        <w:rPr>
          <w:rFonts w:hint="eastAsia" w:ascii="彩虹粗仿宋" w:hAnsi="彩虹粗仿宋" w:eastAsia="彩虹粗仿宋" w:cs="彩虹粗仿宋"/>
          <w:color w:val="auto"/>
          <w:sz w:val="32"/>
          <w:szCs w:val="32"/>
          <w:lang w:val="en-US" w:eastAsia="zh-CN"/>
        </w:rPr>
        <w:t>本次采购全区13个二级分行及南宁业务集中处理中心本外币现金清分整点外包服务。对网点柜面、自助设备回笼的本外币现金进行清分整点，对上门收款、现金异步现金进行清分整点、对网点领款进行配款装包等。服务项目包括：</w:t>
      </w:r>
    </w:p>
    <w:p>
      <w:pPr>
        <w:keepNext w:val="0"/>
        <w:keepLines w:val="0"/>
        <w:pageBreakBefore w:val="0"/>
        <w:numPr>
          <w:ilvl w:val="0"/>
          <w:numId w:val="0"/>
        </w:numPr>
        <w:kinsoku/>
        <w:wordWrap/>
        <w:overflowPunct/>
        <w:topLinePunct w:val="0"/>
        <w:autoSpaceDE/>
        <w:autoSpaceDN/>
        <w:bidi w:val="0"/>
        <w:spacing w:line="587" w:lineRule="exact"/>
        <w:ind w:firstLine="640" w:firstLineChars="200"/>
        <w:jc w:val="both"/>
        <w:rPr>
          <w:rFonts w:hint="eastAsia" w:ascii="彩虹粗仿宋" w:hAnsi="彩虹粗仿宋" w:eastAsia="彩虹粗仿宋" w:cs="彩虹粗仿宋"/>
          <w:color w:val="auto"/>
          <w:sz w:val="32"/>
          <w:szCs w:val="32"/>
          <w:lang w:val="en-US" w:eastAsia="zh-CN"/>
        </w:rPr>
      </w:pPr>
      <w:r>
        <w:rPr>
          <w:rFonts w:hint="eastAsia" w:ascii="彩虹粗仿宋" w:hAnsi="彩虹粗仿宋" w:eastAsia="彩虹粗仿宋" w:cs="彩虹粗仿宋"/>
          <w:color w:val="auto"/>
          <w:sz w:val="32"/>
          <w:szCs w:val="32"/>
          <w:lang w:val="en-US" w:eastAsia="zh-CN"/>
        </w:rPr>
        <w:t>1.清分整点本外币现金，包括网点上交现金、上门收款或现金异步业务款、自助设备回笼现金、上缴人行现金等。</w:t>
      </w:r>
    </w:p>
    <w:p>
      <w:pPr>
        <w:keepNext w:val="0"/>
        <w:keepLines w:val="0"/>
        <w:pageBreakBefore w:val="0"/>
        <w:numPr>
          <w:ilvl w:val="0"/>
          <w:numId w:val="0"/>
        </w:numPr>
        <w:kinsoku/>
        <w:wordWrap/>
        <w:overflowPunct/>
        <w:topLinePunct w:val="0"/>
        <w:autoSpaceDE/>
        <w:autoSpaceDN/>
        <w:bidi w:val="0"/>
        <w:spacing w:line="587" w:lineRule="exact"/>
        <w:ind w:firstLine="640" w:firstLineChars="200"/>
        <w:jc w:val="both"/>
        <w:rPr>
          <w:rFonts w:hint="eastAsia" w:ascii="彩虹粗仿宋" w:hAnsi="彩虹粗仿宋" w:eastAsia="彩虹粗仿宋" w:cs="彩虹粗仿宋"/>
          <w:color w:val="auto"/>
          <w:sz w:val="32"/>
          <w:szCs w:val="32"/>
          <w:lang w:val="en-US" w:eastAsia="zh-CN"/>
        </w:rPr>
      </w:pPr>
      <w:r>
        <w:rPr>
          <w:rFonts w:hint="eastAsia" w:ascii="彩虹粗仿宋" w:hAnsi="彩虹粗仿宋" w:eastAsia="彩虹粗仿宋" w:cs="彩虹粗仿宋"/>
          <w:color w:val="auto"/>
          <w:sz w:val="32"/>
          <w:szCs w:val="32"/>
          <w:lang w:val="en-US" w:eastAsia="zh-CN"/>
        </w:rPr>
        <w:t>2.上门收款或现金异步线上系统登记操作，本币“小封包”冠字号码批量流转业务的二维码打印作业，对自助设备钞箱进行配、装钞，对网点领缴款（箱）包进行接、拆（清）、装（配）钞及线上系统登记操作，对人行领缴款（箱）包进行拆（清）、装（配）钞。</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ascii="彩虹粗仿宋" w:hAnsi="宋体" w:eastAsia="彩虹粗仿宋" w:cs="Times New Roman"/>
          <w:snapToGrid w:val="0"/>
          <w:color w:val="auto"/>
          <w:kern w:val="0"/>
          <w:sz w:val="32"/>
          <w:szCs w:val="32"/>
        </w:rPr>
        <w:t>本次采购采用框架</w:t>
      </w:r>
      <w:r>
        <w:rPr>
          <w:rFonts w:hint="eastAsia" w:ascii="彩虹粗仿宋" w:hAnsi="宋体" w:eastAsia="彩虹粗仿宋" w:cs="Times New Roman"/>
          <w:snapToGrid w:val="0"/>
          <w:color w:val="auto"/>
          <w:kern w:val="0"/>
          <w:sz w:val="32"/>
          <w:szCs w:val="32"/>
        </w:rPr>
        <w:t>合同</w:t>
      </w:r>
      <w:r>
        <w:rPr>
          <w:rFonts w:ascii="彩虹粗仿宋" w:hAnsi="宋体" w:eastAsia="彩虹粗仿宋" w:cs="Times New Roman"/>
          <w:snapToGrid w:val="0"/>
          <w:color w:val="auto"/>
          <w:kern w:val="0"/>
          <w:sz w:val="32"/>
          <w:szCs w:val="32"/>
        </w:rPr>
        <w:t>加订单方式</w:t>
      </w:r>
      <w:r>
        <w:rPr>
          <w:rFonts w:hint="eastAsia" w:ascii="彩虹粗仿宋" w:hAnsi="宋体" w:eastAsia="彩虹粗仿宋" w:cs="Times New Roman"/>
          <w:snapToGrid w:val="0"/>
          <w:color w:val="auto"/>
          <w:kern w:val="0"/>
          <w:sz w:val="32"/>
          <w:szCs w:val="32"/>
        </w:rPr>
        <w:t>，</w:t>
      </w:r>
      <w:r>
        <w:rPr>
          <w:rFonts w:ascii="彩虹粗仿宋" w:hAnsi="宋体" w:eastAsia="彩虹粗仿宋" w:cs="Times New Roman"/>
          <w:snapToGrid w:val="0"/>
          <w:color w:val="auto"/>
          <w:kern w:val="0"/>
          <w:sz w:val="32"/>
          <w:szCs w:val="32"/>
        </w:rPr>
        <w:t>合同期限贰年</w:t>
      </w:r>
      <w:r>
        <w:rPr>
          <w:rFonts w:hint="eastAsia" w:ascii="彩虹粗仿宋" w:hAnsi="宋体" w:eastAsia="彩虹粗仿宋" w:cs="Times New Roman"/>
          <w:snapToGrid w:val="0"/>
          <w:color w:val="auto"/>
          <w:kern w:val="0"/>
          <w:sz w:val="32"/>
          <w:szCs w:val="32"/>
        </w:rPr>
        <w:t>。</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黑体" w:hAnsi="彩虹黑体" w:eastAsia="彩虹黑体" w:cs="彩虹黑体"/>
          <w:b w:val="0"/>
          <w:bCs w:val="0"/>
          <w:snapToGrid w:val="0"/>
          <w:color w:val="auto"/>
          <w:kern w:val="0"/>
          <w:sz w:val="32"/>
          <w:szCs w:val="32"/>
        </w:rPr>
      </w:pPr>
      <w:r>
        <w:rPr>
          <w:rFonts w:hint="eastAsia" w:ascii="彩虹黑体" w:hAnsi="彩虹黑体" w:eastAsia="彩虹黑体" w:cs="彩虹黑体"/>
          <w:b w:val="0"/>
          <w:bCs w:val="0"/>
          <w:snapToGrid w:val="0"/>
          <w:color w:val="auto"/>
          <w:kern w:val="0"/>
          <w:sz w:val="32"/>
          <w:szCs w:val="32"/>
        </w:rPr>
        <w:t>二、</w:t>
      </w:r>
      <w:r>
        <w:rPr>
          <w:rFonts w:hint="eastAsia" w:ascii="彩虹黑体" w:hAnsi="彩虹黑体" w:eastAsia="彩虹黑体" w:cs="彩虹黑体"/>
          <w:b w:val="0"/>
          <w:bCs/>
          <w:snapToGrid w:val="0"/>
          <w:color w:val="auto"/>
          <w:kern w:val="0"/>
          <w:sz w:val="32"/>
          <w:szCs w:val="32"/>
        </w:rPr>
        <w:t>服务供应商要求</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eastAsia="zh-CN"/>
        </w:rPr>
        <w:t>（一）</w:t>
      </w:r>
      <w:r>
        <w:rPr>
          <w:rFonts w:hint="eastAsia" w:ascii="彩虹粗仿宋" w:hAnsi="宋体" w:eastAsia="彩虹粗仿宋" w:cs="Times New Roman"/>
          <w:snapToGrid w:val="0"/>
          <w:color w:val="auto"/>
          <w:kern w:val="0"/>
          <w:sz w:val="32"/>
          <w:szCs w:val="32"/>
        </w:rPr>
        <w:t>基本资格要求：</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1.</w:t>
      </w:r>
      <w:r>
        <w:rPr>
          <w:rFonts w:hint="eastAsia" w:ascii="彩虹粗仿宋" w:hAnsi="宋体" w:eastAsia="彩虹粗仿宋" w:cs="Times New Roman"/>
          <w:snapToGrid w:val="0"/>
          <w:color w:val="auto"/>
          <w:kern w:val="0"/>
          <w:sz w:val="32"/>
          <w:szCs w:val="32"/>
        </w:rPr>
        <w:t>投标人是在中国境内办理了工商注册的能够独立承担民事责任的</w:t>
      </w:r>
      <w:r>
        <w:rPr>
          <w:rFonts w:hint="eastAsia" w:ascii="彩虹粗仿宋" w:hAnsi="宋体" w:eastAsia="彩虹粗仿宋" w:cs="Times New Roman"/>
          <w:snapToGrid w:val="0"/>
          <w:color w:val="auto"/>
          <w:kern w:val="0"/>
          <w:sz w:val="32"/>
          <w:szCs w:val="32"/>
          <w:lang w:eastAsia="zh-CN"/>
        </w:rPr>
        <w:t>独立</w:t>
      </w:r>
      <w:r>
        <w:rPr>
          <w:rFonts w:hint="eastAsia" w:ascii="彩虹粗仿宋" w:hAnsi="宋体" w:eastAsia="彩虹粗仿宋" w:cs="Times New Roman"/>
          <w:snapToGrid w:val="0"/>
          <w:color w:val="auto"/>
          <w:kern w:val="0"/>
          <w:sz w:val="32"/>
          <w:szCs w:val="32"/>
        </w:rPr>
        <w:t>法人或组织，营业执照有效，遵守国家有关法律、法规，具有良好的商业信誉和健全的财务会计制度。</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rPr>
        <w:t>具有有效的税务登记证或提供依法缴纳税收证明材料。</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3.</w:t>
      </w:r>
      <w:r>
        <w:rPr>
          <w:rFonts w:hint="eastAsia" w:ascii="彩虹粗仿宋" w:hAnsi="宋体" w:eastAsia="彩虹粗仿宋" w:cs="Times New Roman"/>
          <w:snapToGrid w:val="0"/>
          <w:color w:val="auto"/>
          <w:kern w:val="0"/>
          <w:sz w:val="32"/>
          <w:szCs w:val="32"/>
        </w:rPr>
        <w:t>具有有效的社会保险登记证或提供缴纳社会保险的凭证。</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投标人已按“三证合一”登记制度换发新证的，视同为持有工商营业执照和税务登记证，投标人已按“五证合一”登记制度换发新证的，视同为持有工商营业执照、税务登记证、社会保险登记证，符合基本资格条件的相关条款。</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eastAsia="zh-CN"/>
        </w:rPr>
        <w:t>（二）</w:t>
      </w:r>
      <w:r>
        <w:rPr>
          <w:rFonts w:hint="eastAsia" w:ascii="彩虹粗仿宋" w:hAnsi="宋体" w:eastAsia="彩虹粗仿宋" w:cs="Times New Roman"/>
          <w:snapToGrid w:val="0"/>
          <w:color w:val="auto"/>
          <w:kern w:val="0"/>
          <w:sz w:val="32"/>
          <w:szCs w:val="32"/>
        </w:rPr>
        <w:t>特定资格要求：具备至少一个自</w:t>
      </w:r>
      <w:r>
        <w:rPr>
          <w:rFonts w:hint="default" w:ascii="彩虹粗仿宋" w:hAnsi="宋体" w:eastAsia="彩虹粗仿宋" w:cs="Times New Roman"/>
          <w:snapToGrid w:val="0"/>
          <w:color w:val="auto"/>
          <w:kern w:val="0"/>
          <w:sz w:val="32"/>
          <w:szCs w:val="32"/>
        </w:rPr>
        <w:t>202</w:t>
      </w:r>
      <w:r>
        <w:rPr>
          <w:rFonts w:hint="eastAsia" w:ascii="彩虹粗仿宋" w:hAnsi="宋体" w:eastAsia="彩虹粗仿宋" w:cs="Times New Roman"/>
          <w:snapToGrid w:val="0"/>
          <w:color w:val="auto"/>
          <w:kern w:val="0"/>
          <w:sz w:val="32"/>
          <w:szCs w:val="32"/>
          <w:lang w:val="en-US" w:eastAsia="zh-CN"/>
        </w:rPr>
        <w:t>3</w:t>
      </w:r>
      <w:r>
        <w:rPr>
          <w:rFonts w:hint="eastAsia" w:ascii="彩虹粗仿宋" w:hAnsi="宋体" w:eastAsia="彩虹粗仿宋" w:cs="Times New Roman"/>
          <w:snapToGrid w:val="0"/>
          <w:color w:val="auto"/>
          <w:kern w:val="0"/>
          <w:sz w:val="32"/>
          <w:szCs w:val="32"/>
        </w:rPr>
        <w:t>年</w:t>
      </w:r>
      <w:r>
        <w:rPr>
          <w:rFonts w:hint="default" w:ascii="彩虹粗仿宋" w:hAnsi="宋体" w:eastAsia="彩虹粗仿宋" w:cs="Times New Roman"/>
          <w:snapToGrid w:val="0"/>
          <w:color w:val="auto"/>
          <w:kern w:val="0"/>
          <w:sz w:val="32"/>
          <w:szCs w:val="32"/>
        </w:rPr>
        <w:t>1</w:t>
      </w:r>
      <w:r>
        <w:rPr>
          <w:rFonts w:hint="eastAsia" w:ascii="彩虹粗仿宋" w:hAnsi="宋体" w:eastAsia="彩虹粗仿宋" w:cs="Times New Roman"/>
          <w:snapToGrid w:val="0"/>
          <w:color w:val="auto"/>
          <w:kern w:val="0"/>
          <w:sz w:val="32"/>
          <w:szCs w:val="32"/>
        </w:rPr>
        <w:t>月</w:t>
      </w:r>
      <w:r>
        <w:rPr>
          <w:rFonts w:hint="default" w:ascii="彩虹粗仿宋" w:hAnsi="宋体" w:eastAsia="彩虹粗仿宋" w:cs="Times New Roman"/>
          <w:snapToGrid w:val="0"/>
          <w:color w:val="auto"/>
          <w:kern w:val="0"/>
          <w:sz w:val="32"/>
          <w:szCs w:val="32"/>
        </w:rPr>
        <w:t>1</w:t>
      </w:r>
      <w:r>
        <w:rPr>
          <w:rFonts w:hint="eastAsia" w:ascii="彩虹粗仿宋" w:hAnsi="宋体" w:eastAsia="彩虹粗仿宋" w:cs="Times New Roman"/>
          <w:snapToGrid w:val="0"/>
          <w:color w:val="auto"/>
          <w:kern w:val="0"/>
          <w:sz w:val="32"/>
          <w:szCs w:val="32"/>
        </w:rPr>
        <w:t>日以来现金清分整点业务合作案例。</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eastAsia="zh-CN"/>
        </w:rPr>
        <w:t>（三）</w:t>
      </w:r>
      <w:r>
        <w:rPr>
          <w:rFonts w:hint="eastAsia" w:ascii="彩虹粗仿宋" w:hAnsi="宋体" w:eastAsia="彩虹粗仿宋" w:cs="Times New Roman"/>
          <w:snapToGrid w:val="0"/>
          <w:color w:val="auto"/>
          <w:kern w:val="0"/>
          <w:sz w:val="32"/>
          <w:szCs w:val="32"/>
        </w:rPr>
        <w:t>本次招标不接受联合体投标。</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黑体" w:hAnsi="彩虹黑体" w:eastAsia="彩虹黑体" w:cs="彩虹黑体"/>
          <w:b w:val="0"/>
          <w:bCs w:val="0"/>
          <w:snapToGrid w:val="0"/>
          <w:color w:val="auto"/>
          <w:kern w:val="0"/>
          <w:sz w:val="32"/>
          <w:szCs w:val="32"/>
          <w:lang w:eastAsia="zh-CN"/>
        </w:rPr>
      </w:pPr>
      <w:r>
        <w:rPr>
          <w:rFonts w:hint="eastAsia" w:ascii="彩虹黑体" w:hAnsi="彩虹黑体" w:eastAsia="彩虹黑体" w:cs="彩虹黑体"/>
          <w:b w:val="0"/>
          <w:bCs w:val="0"/>
          <w:snapToGrid w:val="0"/>
          <w:color w:val="auto"/>
          <w:kern w:val="0"/>
          <w:sz w:val="32"/>
          <w:szCs w:val="32"/>
        </w:rPr>
        <w:t>三、</w:t>
      </w:r>
      <w:r>
        <w:rPr>
          <w:rFonts w:hint="eastAsia" w:ascii="彩虹黑体" w:hAnsi="彩虹黑体" w:eastAsia="彩虹黑体" w:cs="彩虹黑体"/>
          <w:b w:val="0"/>
          <w:bCs w:val="0"/>
          <w:snapToGrid w:val="0"/>
          <w:color w:val="auto"/>
          <w:kern w:val="0"/>
          <w:sz w:val="32"/>
          <w:szCs w:val="32"/>
          <w:lang w:eastAsia="zh-CN"/>
        </w:rPr>
        <w:t>服务数量要求</w:t>
      </w:r>
    </w:p>
    <w:p>
      <w:pPr>
        <w:numPr>
          <w:ilvl w:val="0"/>
          <w:numId w:val="0"/>
        </w:numPr>
        <w:spacing w:line="560" w:lineRule="exact"/>
        <w:ind w:firstLine="600"/>
        <w:rPr>
          <w:rFonts w:hint="eastAsia" w:ascii="彩虹粗仿宋" w:eastAsia="彩虹粗仿宋"/>
          <w:kern w:val="0"/>
          <w:sz w:val="32"/>
          <w:szCs w:val="32"/>
          <w:lang w:val="en-US" w:eastAsia="zh-CN"/>
        </w:rPr>
      </w:pPr>
      <w:r>
        <w:rPr>
          <w:rFonts w:hint="eastAsia" w:ascii="彩虹粗仿宋" w:eastAsia="彩虹粗仿宋"/>
          <w:kern w:val="0"/>
          <w:sz w:val="32"/>
          <w:szCs w:val="32"/>
          <w:lang w:val="en-US" w:eastAsia="zh-CN"/>
        </w:rPr>
        <w:t>全区13个二级分行及南宁业务集中处理中心按属地分为两个片区，入选的2家供应商分别负责A、B其中一个片区，按照评审得分高低顺序依次选择服务区域：</w:t>
      </w:r>
    </w:p>
    <w:p>
      <w:pPr>
        <w:numPr>
          <w:ilvl w:val="0"/>
          <w:numId w:val="0"/>
        </w:numPr>
        <w:spacing w:line="560" w:lineRule="exact"/>
        <w:ind w:firstLine="600"/>
        <w:rPr>
          <w:rFonts w:hint="eastAsia" w:ascii="彩虹粗仿宋" w:eastAsia="彩虹粗仿宋"/>
          <w:kern w:val="0"/>
          <w:sz w:val="32"/>
          <w:szCs w:val="32"/>
          <w:highlight w:val="none"/>
          <w:lang w:val="en-US" w:eastAsia="zh-CN"/>
        </w:rPr>
      </w:pPr>
      <w:r>
        <w:rPr>
          <w:rFonts w:hint="eastAsia" w:ascii="彩虹粗仿宋" w:eastAsia="彩虹粗仿宋"/>
          <w:kern w:val="0"/>
          <w:sz w:val="32"/>
          <w:szCs w:val="32"/>
          <w:lang w:val="en-US" w:eastAsia="zh-CN"/>
        </w:rPr>
        <w:t>A片区为：</w:t>
      </w:r>
      <w:r>
        <w:rPr>
          <w:rFonts w:hint="eastAsia" w:ascii="彩虹粗仿宋" w:eastAsia="彩虹粗仿宋"/>
          <w:kern w:val="0"/>
          <w:sz w:val="32"/>
          <w:szCs w:val="32"/>
          <w:highlight w:val="none"/>
          <w:lang w:val="en-US" w:eastAsia="zh-CN"/>
        </w:rPr>
        <w:t>南宁、玉林、百色、梧州、崇左、河池</w:t>
      </w:r>
    </w:p>
    <w:p>
      <w:pPr>
        <w:numPr>
          <w:ilvl w:val="0"/>
          <w:numId w:val="0"/>
        </w:numPr>
        <w:spacing w:line="560" w:lineRule="exact"/>
        <w:ind w:firstLine="600"/>
        <w:rPr>
          <w:rFonts w:hint="eastAsia" w:ascii="彩虹黑体" w:hAnsi="彩虹黑体" w:eastAsia="彩虹黑体" w:cs="彩虹黑体"/>
          <w:b w:val="0"/>
          <w:bCs w:val="0"/>
          <w:snapToGrid w:val="0"/>
          <w:color w:val="auto"/>
          <w:kern w:val="0"/>
          <w:sz w:val="32"/>
          <w:szCs w:val="32"/>
          <w:lang w:eastAsia="zh-CN"/>
        </w:rPr>
      </w:pPr>
      <w:r>
        <w:rPr>
          <w:rFonts w:hint="eastAsia" w:ascii="彩虹粗仿宋" w:eastAsia="彩虹粗仿宋"/>
          <w:kern w:val="0"/>
          <w:sz w:val="32"/>
          <w:szCs w:val="32"/>
          <w:highlight w:val="none"/>
          <w:lang w:val="en-US" w:eastAsia="zh-CN"/>
        </w:rPr>
        <w:t>B片区为：柳州、桂林、北海、贵港、防城港、钦州、贺州、来宾</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黑体" w:hAnsi="彩虹黑体" w:eastAsia="彩虹黑体" w:cs="彩虹黑体"/>
          <w:b w:val="0"/>
          <w:bCs w:val="0"/>
          <w:snapToGrid w:val="0"/>
          <w:color w:val="auto"/>
          <w:kern w:val="0"/>
          <w:sz w:val="32"/>
          <w:szCs w:val="32"/>
        </w:rPr>
      </w:pPr>
      <w:r>
        <w:rPr>
          <w:rFonts w:hint="eastAsia" w:ascii="彩虹黑体" w:hAnsi="彩虹黑体" w:eastAsia="彩虹黑体" w:cs="彩虹黑体"/>
          <w:b w:val="0"/>
          <w:bCs w:val="0"/>
          <w:snapToGrid w:val="0"/>
          <w:color w:val="auto"/>
          <w:kern w:val="0"/>
          <w:sz w:val="32"/>
          <w:szCs w:val="32"/>
        </w:rPr>
        <w:t>四</w:t>
      </w:r>
      <w:r>
        <w:rPr>
          <w:rFonts w:hint="eastAsia" w:ascii="彩虹黑体" w:hAnsi="彩虹黑体" w:eastAsia="彩虹黑体" w:cs="彩虹黑体"/>
          <w:b w:val="0"/>
          <w:bCs w:val="0"/>
          <w:snapToGrid w:val="0"/>
          <w:color w:val="auto"/>
          <w:kern w:val="0"/>
          <w:sz w:val="32"/>
          <w:szCs w:val="32"/>
          <w:lang w:eastAsia="zh-CN"/>
        </w:rPr>
        <w:t>、</w:t>
      </w:r>
      <w:r>
        <w:rPr>
          <w:rFonts w:hint="eastAsia" w:ascii="彩虹黑体" w:hAnsi="彩虹黑体" w:eastAsia="彩虹黑体" w:cs="彩虹黑体"/>
          <w:b w:val="0"/>
          <w:bCs/>
          <w:snapToGrid w:val="0"/>
          <w:color w:val="auto"/>
          <w:kern w:val="0"/>
          <w:sz w:val="32"/>
          <w:szCs w:val="32"/>
        </w:rPr>
        <w:t>服务质量要求</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（一）</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须按照行方要求完成当日的现金整点</w:t>
      </w:r>
      <w:r>
        <w:rPr>
          <w:rFonts w:hint="eastAsia" w:ascii="彩虹粗仿宋" w:hAnsi="宋体" w:eastAsia="彩虹粗仿宋" w:cs="Times New Roman"/>
          <w:snapToGrid w:val="0"/>
          <w:color w:val="auto"/>
          <w:kern w:val="0"/>
          <w:sz w:val="32"/>
          <w:szCs w:val="32"/>
          <w:lang w:eastAsia="zh-CN"/>
        </w:rPr>
        <w:t>清分计划</w:t>
      </w:r>
      <w:r>
        <w:rPr>
          <w:rFonts w:hint="eastAsia" w:ascii="彩虹粗仿宋" w:hAnsi="宋体" w:eastAsia="彩虹粗仿宋" w:cs="Times New Roman"/>
          <w:snapToGrid w:val="0"/>
          <w:color w:val="auto"/>
          <w:kern w:val="0"/>
          <w:sz w:val="32"/>
          <w:szCs w:val="32"/>
        </w:rPr>
        <w:t>，现金清分质量必须满足人行和行方</w:t>
      </w:r>
      <w:r>
        <w:rPr>
          <w:rFonts w:ascii="彩虹粗仿宋" w:hAnsi="宋体" w:eastAsia="彩虹粗仿宋" w:cs="Times New Roman"/>
          <w:snapToGrid w:val="0"/>
          <w:color w:val="auto"/>
          <w:kern w:val="0"/>
          <w:sz w:val="32"/>
          <w:szCs w:val="32"/>
        </w:rPr>
        <w:t>制度</w:t>
      </w:r>
      <w:r>
        <w:rPr>
          <w:rFonts w:hint="eastAsia" w:ascii="彩虹粗仿宋" w:hAnsi="宋体" w:eastAsia="彩虹粗仿宋" w:cs="Times New Roman"/>
          <w:snapToGrid w:val="0"/>
          <w:color w:val="auto"/>
          <w:kern w:val="0"/>
          <w:sz w:val="32"/>
          <w:szCs w:val="32"/>
        </w:rPr>
        <w:t>要求，具体包括但不限于以下规定：</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1.上缴人行现金</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（1）上缴人行回笼钱捆应符合“五好钱捆”标准，即点准、挑净（剔残、假币）、墩齐、捆紧、盖章齐全清楚。</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（2）回笼完整券和残损券必须严格按照人民银行《不宜流通人民币挑剔标准》进行挑剔，钱捆内不能有金属硬杂物和橡皮筋、透明胶等软杂物。</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（3）回笼钱捆必须百张成把、十把成捆，按不同券别的标准数量装袋，严格按券别、版别捆扎，不得混张、混把、混袋。</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硬币1元、5角、1角按每50枚为一卷，每20卷为一捆进行捆扎，5分、2分、1分每100枚为一卷，每10卷为一捆进行捆扎。捆扎好的钱捆使用专用封签加封，专用封签需加盖整点员名章和封包员名章，注明封捆日期，如果是残、损钞，应在封签右上角加盖“残”字样印记。</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（4）回笼钱捆统一用白色腰条在钞票居中位置扎把，整捆腰条保持“一条线”，腰条上加盖整点员名章（出纳机具自动捆扎盖章的除外），腰条印章必须盖在同一面。</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2.自助设备现金</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（1）自助设备加钞现金清</w:t>
      </w:r>
      <w:r>
        <w:rPr>
          <w:rFonts w:ascii="彩虹粗仿宋" w:hAnsi="宋体" w:eastAsia="彩虹粗仿宋" w:cs="Times New Roman"/>
          <w:snapToGrid w:val="0"/>
          <w:color w:val="auto"/>
          <w:kern w:val="0"/>
          <w:sz w:val="32"/>
          <w:szCs w:val="32"/>
          <w:highlight w:val="none"/>
        </w:rPr>
        <w:t>点必须</w:t>
      </w:r>
      <w:r>
        <w:rPr>
          <w:rFonts w:hint="eastAsia" w:ascii="彩虹粗仿宋" w:hAnsi="宋体" w:eastAsia="彩虹粗仿宋" w:cs="Times New Roman"/>
          <w:snapToGrid w:val="0"/>
          <w:color w:val="auto"/>
          <w:kern w:val="0"/>
          <w:sz w:val="32"/>
          <w:szCs w:val="32"/>
          <w:highlight w:val="none"/>
        </w:rPr>
        <w:t>双</w:t>
      </w:r>
      <w:r>
        <w:rPr>
          <w:rFonts w:ascii="彩虹粗仿宋" w:hAnsi="宋体" w:eastAsia="彩虹粗仿宋" w:cs="Times New Roman"/>
          <w:snapToGrid w:val="0"/>
          <w:color w:val="auto"/>
          <w:kern w:val="0"/>
          <w:sz w:val="32"/>
          <w:szCs w:val="32"/>
          <w:highlight w:val="none"/>
        </w:rPr>
        <w:t>人操作</w:t>
      </w:r>
      <w:r>
        <w:rPr>
          <w:rFonts w:hint="eastAsia" w:ascii="彩虹粗仿宋" w:hAnsi="宋体" w:eastAsia="彩虹粗仿宋" w:cs="Times New Roman"/>
          <w:snapToGrid w:val="0"/>
          <w:color w:val="auto"/>
          <w:kern w:val="0"/>
          <w:sz w:val="32"/>
          <w:szCs w:val="32"/>
          <w:highlight w:val="none"/>
        </w:rPr>
        <w:t>，清点完毕后双人签字确认。</w:t>
      </w:r>
      <w:r>
        <w:rPr>
          <w:rFonts w:ascii="彩虹粗仿宋" w:hAnsi="宋体" w:eastAsia="彩虹粗仿宋" w:cs="Times New Roman"/>
          <w:snapToGrid w:val="0"/>
          <w:color w:val="auto"/>
          <w:kern w:val="0"/>
          <w:sz w:val="32"/>
          <w:szCs w:val="32"/>
          <w:highlight w:val="none"/>
        </w:rPr>
        <w:t>清点</w:t>
      </w:r>
      <w:r>
        <w:rPr>
          <w:rFonts w:hint="eastAsia" w:ascii="彩虹粗仿宋" w:hAnsi="宋体" w:eastAsia="彩虹粗仿宋" w:cs="Times New Roman"/>
          <w:snapToGrid w:val="0"/>
          <w:color w:val="auto"/>
          <w:kern w:val="0"/>
          <w:sz w:val="32"/>
          <w:szCs w:val="32"/>
          <w:highlight w:val="none"/>
        </w:rPr>
        <w:t>现金必须符合专用钞标准：无破损、无断裂、无透明胶纸粘贴、无皱折卷角等符合</w:t>
      </w:r>
      <w:r>
        <w:rPr>
          <w:rFonts w:ascii="彩虹粗仿宋" w:hAnsi="宋体" w:eastAsia="彩虹粗仿宋" w:cs="Times New Roman"/>
          <w:snapToGrid w:val="0"/>
          <w:color w:val="auto"/>
          <w:kern w:val="0"/>
          <w:sz w:val="32"/>
          <w:szCs w:val="32"/>
          <w:highlight w:val="none"/>
        </w:rPr>
        <w:t>人民币流通标准的</w:t>
      </w:r>
      <w:r>
        <w:rPr>
          <w:rFonts w:hint="eastAsia" w:ascii="彩虹粗仿宋" w:hAnsi="宋体" w:eastAsia="彩虹粗仿宋" w:cs="Times New Roman"/>
          <w:snapToGrid w:val="0"/>
          <w:color w:val="auto"/>
          <w:kern w:val="0"/>
          <w:sz w:val="32"/>
          <w:szCs w:val="32"/>
          <w:highlight w:val="none"/>
        </w:rPr>
        <w:t>人民币，禁止直接使用原装新钞（如</w:t>
      </w:r>
      <w:r>
        <w:rPr>
          <w:rFonts w:ascii="彩虹粗仿宋" w:hAnsi="宋体" w:eastAsia="彩虹粗仿宋" w:cs="Times New Roman"/>
          <w:snapToGrid w:val="0"/>
          <w:color w:val="auto"/>
          <w:kern w:val="0"/>
          <w:sz w:val="32"/>
          <w:szCs w:val="32"/>
          <w:highlight w:val="none"/>
        </w:rPr>
        <w:t>使用</w:t>
      </w:r>
      <w:r>
        <w:rPr>
          <w:rFonts w:hint="eastAsia" w:ascii="彩虹粗仿宋" w:hAnsi="宋体" w:eastAsia="彩虹粗仿宋" w:cs="Times New Roman"/>
          <w:snapToGrid w:val="0"/>
          <w:color w:val="auto"/>
          <w:kern w:val="0"/>
          <w:sz w:val="32"/>
          <w:szCs w:val="32"/>
          <w:highlight w:val="none"/>
        </w:rPr>
        <w:t>新钞，须至少过</w:t>
      </w:r>
      <w:r>
        <w:rPr>
          <w:rFonts w:ascii="彩虹粗仿宋" w:hAnsi="宋体" w:eastAsia="彩虹粗仿宋" w:cs="Times New Roman"/>
          <w:snapToGrid w:val="0"/>
          <w:color w:val="auto"/>
          <w:kern w:val="0"/>
          <w:sz w:val="32"/>
          <w:szCs w:val="32"/>
          <w:highlight w:val="none"/>
        </w:rPr>
        <w:t>机清点</w:t>
      </w:r>
      <w:r>
        <w:rPr>
          <w:rFonts w:hint="eastAsia" w:ascii="彩虹粗仿宋" w:hAnsi="宋体" w:eastAsia="彩虹粗仿宋" w:cs="Times New Roman"/>
          <w:snapToGrid w:val="0"/>
          <w:color w:val="auto"/>
          <w:kern w:val="0"/>
          <w:sz w:val="32"/>
          <w:szCs w:val="32"/>
          <w:highlight w:val="none"/>
        </w:rPr>
        <w:t>3次，打乱顺序以免出现新钞粘连）和潮湿的现钞。整点完毕的钞币按要求装入塑封袋或专用钞箱。</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rPr>
        <w:t>（2）自助设备回钞以设备或钞箱为单位办理。清分整点员双人按设备所属钞箱开箱（包）查验和清点。清点完毕后登记清点结果并双人签字确认。清分整点员应在清机当日完成回钞现金的清点，当日无法完成的，应按照制度规定对设备回钞钞箱和现金实行寄库保管，并在下一工作日日终前完成清点。</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3.上门收款现金</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上门收款现金必须一箱（包）一清、一笔一清，严禁将不同“现金交款单”所对应的款箱（包）、款项混点。上门收送款业务的款箱（包）开箱（包）之后必须当日清点处理完毕，严禁将开箱（包）后未处理完毕的款项重新封箱（包）（因发生长、短款或假币当日无法完成处理的除外）。</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整点上门收款现金时，应认真审核现金缴款凭证各项要素是否规范、完整、正确，凭证金额是否涂改，大小写金额是否一致，凭证日期是否完整正确、是否涂改。</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4.现金异步现金</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现金异步现金必须一箱（包）一清、一笔一清，严禁将不同“现金异步申请单”所对应的款箱（包）、款项混点。现金异步业务的款箱（包）开箱（包）之后必须当日清点处理完毕，严禁将开箱（包）后未处理完毕的款项重新封箱（包）。</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整点现金异步现金时，应认真审核现金异步申请单各项要素是否规范、完整、正确，凭证金额是否涂改，大小写金额是否一致，凭证日期是否完整正确、是否涂改。</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 xml:space="preserve">5.网点用钞   </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网点用钞需满足人行流通钞供应标准</w:t>
      </w:r>
      <w:r>
        <w:rPr>
          <w:rFonts w:hint="eastAsia" w:ascii="彩虹粗仿宋" w:hAnsi="宋体" w:eastAsia="彩虹粗仿宋" w:cs="Times New Roman"/>
          <w:snapToGrid w:val="0"/>
          <w:color w:val="auto"/>
          <w:kern w:val="0"/>
          <w:sz w:val="32"/>
          <w:szCs w:val="32"/>
          <w:lang w:eastAsia="zh-CN"/>
        </w:rPr>
        <w:t>，必要时，根据网点申请制作小封包钱捆。</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ascii="彩虹粗仿宋" w:hAnsi="宋体" w:eastAsia="彩虹粗仿宋" w:cs="Times New Roman"/>
          <w:snapToGrid w:val="0"/>
          <w:color w:val="auto"/>
          <w:kern w:val="0"/>
          <w:sz w:val="32"/>
          <w:szCs w:val="32"/>
        </w:rPr>
        <w:t>6.</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清点后现金按流通券、自助设备使用券、残损券进行分类。</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eastAsia="zh-CN"/>
        </w:rPr>
      </w:pPr>
      <w:r>
        <w:rPr>
          <w:rFonts w:ascii="彩虹粗仿宋" w:hAnsi="宋体" w:eastAsia="彩虹粗仿宋" w:cs="Times New Roman"/>
          <w:snapToGrid w:val="0"/>
          <w:color w:val="auto"/>
          <w:kern w:val="0"/>
          <w:sz w:val="32"/>
          <w:szCs w:val="32"/>
        </w:rPr>
        <w:t>7.</w:t>
      </w:r>
      <w:r>
        <w:rPr>
          <w:rFonts w:hint="eastAsia" w:ascii="彩虹粗仿宋" w:hAnsi="宋体" w:eastAsia="彩虹粗仿宋" w:cs="Times New Roman"/>
          <w:snapToGrid w:val="0"/>
          <w:color w:val="auto"/>
          <w:kern w:val="0"/>
          <w:sz w:val="32"/>
          <w:szCs w:val="32"/>
          <w:lang w:eastAsia="zh-CN"/>
        </w:rPr>
        <w:t>投标人根据行方要求对上述业务在行方系统进行准确录入登记。</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8.</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整点清分</w:t>
      </w:r>
      <w:r>
        <w:rPr>
          <w:rFonts w:hint="eastAsia" w:ascii="彩虹粗仿宋" w:hAnsi="宋体" w:eastAsia="彩虹粗仿宋" w:cs="Times New Roman"/>
          <w:snapToGrid w:val="0"/>
          <w:color w:val="auto"/>
          <w:kern w:val="0"/>
          <w:sz w:val="32"/>
          <w:szCs w:val="32"/>
          <w:lang w:eastAsia="zh-CN"/>
        </w:rPr>
        <w:t>上缴人行现金</w:t>
      </w:r>
      <w:r>
        <w:rPr>
          <w:rFonts w:hint="eastAsia" w:ascii="彩虹粗仿宋" w:hAnsi="宋体" w:eastAsia="彩虹粗仿宋" w:cs="Times New Roman"/>
          <w:snapToGrid w:val="0"/>
          <w:color w:val="auto"/>
          <w:kern w:val="0"/>
          <w:sz w:val="32"/>
          <w:szCs w:val="32"/>
        </w:rPr>
        <w:t>的</w:t>
      </w:r>
      <w:r>
        <w:rPr>
          <w:rFonts w:hint="eastAsia" w:ascii="彩虹粗仿宋" w:hAnsi="宋体" w:eastAsia="彩虹粗仿宋" w:cs="Times New Roman"/>
          <w:snapToGrid w:val="0"/>
          <w:color w:val="auto"/>
          <w:kern w:val="0"/>
          <w:sz w:val="32"/>
          <w:szCs w:val="32"/>
          <w:lang w:eastAsia="zh-CN"/>
        </w:rPr>
        <w:t>夹残率、夹好率</w:t>
      </w:r>
      <w:r>
        <w:rPr>
          <w:rFonts w:hint="eastAsia" w:ascii="彩虹粗仿宋" w:hAnsi="宋体" w:eastAsia="彩虹粗仿宋" w:cs="Times New Roman"/>
          <w:snapToGrid w:val="0"/>
          <w:color w:val="auto"/>
          <w:kern w:val="0"/>
          <w:sz w:val="32"/>
          <w:szCs w:val="32"/>
        </w:rPr>
        <w:t>应低于</w:t>
      </w:r>
      <w:r>
        <w:rPr>
          <w:rFonts w:hint="eastAsia" w:ascii="彩虹粗仿宋" w:hAnsi="宋体" w:eastAsia="彩虹粗仿宋" w:cs="Times New Roman"/>
          <w:snapToGrid w:val="0"/>
          <w:color w:val="auto"/>
          <w:kern w:val="0"/>
          <w:sz w:val="32"/>
          <w:szCs w:val="32"/>
          <w:lang w:eastAsia="zh-CN"/>
        </w:rPr>
        <w:t>建行系统内全国平均水平，</w:t>
      </w:r>
      <w:r>
        <w:rPr>
          <w:rFonts w:hint="eastAsia" w:ascii="彩虹粗仿宋" w:hAnsi="宋体" w:eastAsia="彩虹粗仿宋" w:cs="Times New Roman"/>
          <w:snapToGrid w:val="0"/>
          <w:color w:val="auto"/>
          <w:kern w:val="0"/>
          <w:sz w:val="32"/>
          <w:szCs w:val="32"/>
        </w:rPr>
        <w:t>现金差错率</w:t>
      </w:r>
      <w:r>
        <w:rPr>
          <w:rFonts w:hint="eastAsia" w:ascii="彩虹粗仿宋" w:hAnsi="宋体" w:eastAsia="彩虹粗仿宋" w:cs="Times New Roman"/>
          <w:snapToGrid w:val="0"/>
          <w:color w:val="auto"/>
          <w:kern w:val="0"/>
          <w:sz w:val="32"/>
          <w:szCs w:val="32"/>
          <w:lang w:eastAsia="zh-CN"/>
        </w:rPr>
        <w:t>、假币浓度原则上应为</w:t>
      </w:r>
      <w:r>
        <w:rPr>
          <w:rFonts w:hint="eastAsia" w:ascii="彩虹粗仿宋" w:hAnsi="宋体" w:eastAsia="彩虹粗仿宋" w:cs="Times New Roman"/>
          <w:snapToGrid w:val="0"/>
          <w:color w:val="auto"/>
          <w:kern w:val="0"/>
          <w:sz w:val="32"/>
          <w:szCs w:val="32"/>
          <w:lang w:val="en-US" w:eastAsia="zh-CN"/>
        </w:rPr>
        <w:t>0</w:t>
      </w:r>
      <w:r>
        <w:rPr>
          <w:rFonts w:hint="eastAsia" w:ascii="彩虹粗仿宋" w:hAnsi="宋体" w:eastAsia="彩虹粗仿宋" w:cs="Times New Roman"/>
          <w:snapToGrid w:val="0"/>
          <w:color w:val="auto"/>
          <w:kern w:val="0"/>
          <w:sz w:val="32"/>
          <w:szCs w:val="32"/>
        </w:rPr>
        <w:t>。</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（二）外包</w:t>
      </w:r>
      <w:r>
        <w:rPr>
          <w:rFonts w:hint="eastAsia" w:ascii="彩虹粗仿宋" w:hAnsi="宋体" w:eastAsia="彩虹粗仿宋" w:cs="Times New Roman"/>
          <w:snapToGrid w:val="0"/>
          <w:color w:val="auto"/>
          <w:kern w:val="0"/>
          <w:sz w:val="32"/>
          <w:szCs w:val="32"/>
          <w:lang w:eastAsia="zh-CN"/>
        </w:rPr>
        <w:t>员工</w:t>
      </w:r>
      <w:r>
        <w:rPr>
          <w:rFonts w:hint="eastAsia" w:ascii="彩虹粗仿宋" w:hAnsi="宋体" w:eastAsia="彩虹粗仿宋" w:cs="Times New Roman"/>
          <w:snapToGrid w:val="0"/>
          <w:color w:val="auto"/>
          <w:kern w:val="0"/>
          <w:sz w:val="32"/>
          <w:szCs w:val="32"/>
        </w:rPr>
        <w:t>要求</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rPr>
        <w:t>1</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提供给行方的所有待上岗</w:t>
      </w:r>
      <w:r>
        <w:rPr>
          <w:rFonts w:hint="eastAsia" w:ascii="彩虹粗仿宋" w:hAnsi="宋体" w:eastAsia="彩虹粗仿宋" w:cs="Times New Roman"/>
          <w:snapToGrid w:val="0"/>
          <w:color w:val="auto"/>
          <w:kern w:val="0"/>
          <w:sz w:val="32"/>
          <w:szCs w:val="32"/>
          <w:lang w:eastAsia="zh-CN"/>
        </w:rPr>
        <w:t>员工</w:t>
      </w:r>
      <w:r>
        <w:rPr>
          <w:rFonts w:hint="eastAsia" w:ascii="彩虹粗仿宋" w:hAnsi="彩虹粗仿宋" w:eastAsia="彩虹粗仿宋" w:cs="彩虹粗仿宋"/>
          <w:color w:val="auto"/>
          <w:sz w:val="32"/>
          <w:szCs w:val="32"/>
        </w:rPr>
        <w:t>要求思想端正、品质良好、身体健康，无不良行为</w:t>
      </w:r>
      <w:r>
        <w:rPr>
          <w:rFonts w:hint="eastAsia" w:ascii="彩虹粗仿宋" w:hAnsi="彩虹粗仿宋" w:eastAsia="彩虹粗仿宋" w:cs="彩虹粗仿宋"/>
          <w:color w:val="auto"/>
          <w:sz w:val="32"/>
          <w:szCs w:val="32"/>
          <w:lang w:eastAsia="zh-CN"/>
        </w:rPr>
        <w:t>。投标人</w:t>
      </w:r>
      <w:r>
        <w:rPr>
          <w:rFonts w:hint="eastAsia" w:ascii="彩虹粗仿宋" w:hAnsi="彩虹粗仿宋" w:eastAsia="彩虹粗仿宋" w:cs="彩虹粗仿宋"/>
          <w:color w:val="auto"/>
          <w:sz w:val="32"/>
          <w:szCs w:val="32"/>
        </w:rPr>
        <w:t>需对</w:t>
      </w:r>
      <w:r>
        <w:rPr>
          <w:rFonts w:hint="eastAsia" w:ascii="彩虹粗仿宋" w:hAnsi="宋体" w:eastAsia="彩虹粗仿宋" w:cs="Times New Roman"/>
          <w:snapToGrid w:val="0"/>
          <w:color w:val="auto"/>
          <w:kern w:val="0"/>
          <w:sz w:val="32"/>
          <w:szCs w:val="32"/>
        </w:rPr>
        <w:t>所有待上岗</w:t>
      </w:r>
      <w:r>
        <w:rPr>
          <w:rFonts w:hint="eastAsia" w:ascii="彩虹粗仿宋" w:hAnsi="宋体" w:eastAsia="彩虹粗仿宋" w:cs="Times New Roman"/>
          <w:snapToGrid w:val="0"/>
          <w:color w:val="auto"/>
          <w:kern w:val="0"/>
          <w:sz w:val="32"/>
          <w:szCs w:val="32"/>
          <w:lang w:eastAsia="zh-CN"/>
        </w:rPr>
        <w:t>员工</w:t>
      </w:r>
      <w:r>
        <w:rPr>
          <w:rFonts w:hint="eastAsia" w:ascii="彩虹粗仿宋" w:hAnsi="彩虹粗仿宋" w:eastAsia="彩虹粗仿宋" w:cs="彩虹粗仿宋"/>
          <w:color w:val="auto"/>
          <w:sz w:val="32"/>
          <w:szCs w:val="32"/>
        </w:rPr>
        <w:t>进行政审，向</w:t>
      </w:r>
      <w:r>
        <w:rPr>
          <w:rFonts w:hint="eastAsia" w:ascii="彩虹粗仿宋" w:hAnsi="彩虹粗仿宋" w:eastAsia="彩虹粗仿宋" w:cs="彩虹粗仿宋"/>
          <w:color w:val="auto"/>
          <w:sz w:val="32"/>
          <w:szCs w:val="32"/>
          <w:lang w:eastAsia="zh-CN"/>
        </w:rPr>
        <w:t>行</w:t>
      </w:r>
      <w:r>
        <w:rPr>
          <w:rFonts w:hint="eastAsia" w:ascii="彩虹粗仿宋" w:hAnsi="彩虹粗仿宋" w:eastAsia="彩虹粗仿宋" w:cs="彩虹粗仿宋"/>
          <w:color w:val="auto"/>
          <w:sz w:val="32"/>
          <w:szCs w:val="32"/>
        </w:rPr>
        <w:t>方提供</w:t>
      </w:r>
      <w:r>
        <w:rPr>
          <w:rFonts w:hint="eastAsia" w:ascii="彩虹粗仿宋" w:hAnsi="彩虹粗仿宋" w:eastAsia="彩虹粗仿宋" w:cs="彩虹粗仿宋"/>
          <w:color w:val="auto"/>
          <w:sz w:val="32"/>
          <w:szCs w:val="32"/>
          <w:lang w:eastAsia="zh-CN"/>
        </w:rPr>
        <w:t>所有待上岗员工无异常大额负债的审查报告及在</w:t>
      </w:r>
      <w:r>
        <w:rPr>
          <w:rFonts w:hint="eastAsia" w:ascii="彩虹粗仿宋" w:hAnsi="彩虹粗仿宋" w:eastAsia="彩虹粗仿宋" w:cs="彩虹粗仿宋"/>
          <w:color w:val="auto"/>
          <w:sz w:val="32"/>
          <w:szCs w:val="32"/>
        </w:rPr>
        <w:t>公安部门</w:t>
      </w:r>
      <w:r>
        <w:rPr>
          <w:rFonts w:hint="eastAsia" w:ascii="彩虹粗仿宋" w:hAnsi="彩虹粗仿宋" w:eastAsia="彩虹粗仿宋" w:cs="彩虹粗仿宋"/>
          <w:color w:val="auto"/>
          <w:sz w:val="32"/>
          <w:szCs w:val="32"/>
          <w:lang w:eastAsia="zh-CN"/>
        </w:rPr>
        <w:t>查询并出具</w:t>
      </w:r>
      <w:r>
        <w:rPr>
          <w:rFonts w:hint="eastAsia" w:ascii="彩虹粗仿宋" w:hAnsi="彩虹粗仿宋" w:eastAsia="彩虹粗仿宋" w:cs="彩虹粗仿宋"/>
          <w:color w:val="auto"/>
          <w:sz w:val="32"/>
          <w:szCs w:val="32"/>
        </w:rPr>
        <w:t>的“无犯罪记录证明”。</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hint="eastAsia" w:ascii="彩虹粗仿宋" w:hAnsi="彩虹粗仿宋" w:eastAsia="彩虹粗仿宋" w:cs="彩虹粗仿宋"/>
          <w:color w:val="auto"/>
          <w:sz w:val="32"/>
          <w:szCs w:val="32"/>
        </w:rPr>
      </w:pP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提供给行方的所有待上岗</w:t>
      </w:r>
      <w:r>
        <w:rPr>
          <w:rFonts w:hint="eastAsia" w:ascii="彩虹粗仿宋" w:hAnsi="宋体" w:eastAsia="彩虹粗仿宋" w:cs="Times New Roman"/>
          <w:snapToGrid w:val="0"/>
          <w:color w:val="auto"/>
          <w:kern w:val="0"/>
          <w:sz w:val="32"/>
          <w:szCs w:val="32"/>
          <w:lang w:eastAsia="zh-CN"/>
        </w:rPr>
        <w:t>员工</w:t>
      </w:r>
      <w:r>
        <w:rPr>
          <w:rFonts w:hint="eastAsia" w:ascii="彩虹粗仿宋" w:hAnsi="宋体" w:eastAsia="彩虹粗仿宋" w:cs="Times New Roman"/>
          <w:snapToGrid w:val="0"/>
          <w:color w:val="auto"/>
          <w:kern w:val="0"/>
          <w:sz w:val="32"/>
          <w:szCs w:val="32"/>
        </w:rPr>
        <w:t>必须经过</w:t>
      </w:r>
      <w:r>
        <w:rPr>
          <w:rFonts w:hint="eastAsia" w:ascii="彩虹粗仿宋" w:hAnsi="宋体" w:eastAsia="彩虹粗仿宋" w:cs="Times New Roman"/>
          <w:snapToGrid w:val="0"/>
          <w:color w:val="auto"/>
          <w:kern w:val="0"/>
          <w:sz w:val="32"/>
          <w:szCs w:val="32"/>
          <w:lang w:eastAsia="zh-CN"/>
        </w:rPr>
        <w:t>投标人组织的</w:t>
      </w:r>
      <w:r>
        <w:rPr>
          <w:rFonts w:hint="eastAsia" w:ascii="彩虹粗仿宋" w:hAnsi="宋体" w:eastAsia="彩虹粗仿宋" w:cs="Times New Roman"/>
          <w:snapToGrid w:val="0"/>
          <w:color w:val="auto"/>
          <w:kern w:val="0"/>
          <w:sz w:val="32"/>
          <w:szCs w:val="32"/>
        </w:rPr>
        <w:t>岗前业务培训及考核</w:t>
      </w:r>
      <w:r>
        <w:rPr>
          <w:rFonts w:hint="eastAsia" w:ascii="彩虹粗仿宋" w:hAnsi="宋体" w:eastAsia="彩虹粗仿宋" w:cs="Times New Roman"/>
          <w:snapToGrid w:val="0"/>
          <w:color w:val="auto"/>
          <w:kern w:val="0"/>
          <w:sz w:val="32"/>
          <w:szCs w:val="32"/>
          <w:highlight w:val="none"/>
          <w:lang w:eastAsia="zh-CN"/>
        </w:rPr>
        <w:t>，具备人民币及常用外币的现钞鉴伪能力</w:t>
      </w:r>
      <w:r>
        <w:rPr>
          <w:rFonts w:hint="eastAsia" w:ascii="彩虹粗仿宋" w:hAnsi="宋体" w:eastAsia="彩虹粗仿宋" w:cs="Times New Roman"/>
          <w:snapToGrid w:val="0"/>
          <w:color w:val="auto"/>
          <w:kern w:val="0"/>
          <w:sz w:val="32"/>
          <w:szCs w:val="32"/>
        </w:rPr>
        <w:t>，</w:t>
      </w:r>
      <w:r>
        <w:rPr>
          <w:rFonts w:hint="eastAsia" w:ascii="彩虹粗仿宋" w:hAnsi="彩虹粗仿宋" w:eastAsia="彩虹粗仿宋" w:cs="彩虹粗仿宋"/>
          <w:color w:val="auto"/>
          <w:sz w:val="32"/>
          <w:szCs w:val="32"/>
        </w:rPr>
        <w:t>并</w:t>
      </w:r>
      <w:r>
        <w:rPr>
          <w:rFonts w:hint="eastAsia" w:ascii="彩虹粗仿宋" w:hAnsi="彩虹粗仿宋" w:eastAsia="彩虹粗仿宋" w:cs="彩虹粗仿宋"/>
          <w:color w:val="auto"/>
          <w:sz w:val="32"/>
          <w:szCs w:val="32"/>
          <w:u w:val="none"/>
        </w:rPr>
        <w:t>于</w:t>
      </w:r>
      <w:r>
        <w:rPr>
          <w:rFonts w:hint="eastAsia" w:ascii="彩虹粗仿宋" w:hAnsi="宋体" w:eastAsia="彩虹粗仿宋" w:cs="Times New Roman"/>
          <w:snapToGrid w:val="0"/>
          <w:color w:val="auto"/>
          <w:kern w:val="0"/>
          <w:sz w:val="32"/>
          <w:szCs w:val="32"/>
          <w:lang w:eastAsia="zh-CN"/>
        </w:rPr>
        <w:t>上岗</w:t>
      </w:r>
      <w:r>
        <w:rPr>
          <w:rFonts w:hint="eastAsia" w:ascii="彩虹粗仿宋" w:hAnsi="宋体" w:eastAsia="彩虹粗仿宋" w:cs="Times New Roman"/>
          <w:strike w:val="0"/>
          <w:dstrike w:val="0"/>
          <w:snapToGrid w:val="0"/>
          <w:color w:val="auto"/>
          <w:kern w:val="0"/>
          <w:sz w:val="32"/>
          <w:szCs w:val="32"/>
          <w:lang w:eastAsia="zh-CN"/>
        </w:rPr>
        <w:t>后</w:t>
      </w:r>
      <w:r>
        <w:rPr>
          <w:rFonts w:hint="eastAsia" w:ascii="彩虹粗仿宋" w:hAnsi="宋体" w:eastAsia="彩虹粗仿宋" w:cs="Times New Roman"/>
          <w:strike w:val="0"/>
          <w:dstrike w:val="0"/>
          <w:snapToGrid w:val="0"/>
          <w:color w:val="auto"/>
          <w:kern w:val="0"/>
          <w:sz w:val="32"/>
          <w:szCs w:val="32"/>
          <w:lang w:val="en-US" w:eastAsia="zh-CN"/>
        </w:rPr>
        <w:t>3个月内</w:t>
      </w:r>
      <w:r>
        <w:rPr>
          <w:rFonts w:hint="eastAsia" w:ascii="彩虹粗仿宋" w:hAnsi="宋体" w:eastAsia="彩虹粗仿宋" w:cs="Times New Roman"/>
          <w:snapToGrid w:val="0"/>
          <w:color w:val="auto"/>
          <w:kern w:val="0"/>
          <w:sz w:val="32"/>
          <w:szCs w:val="32"/>
        </w:rPr>
        <w:t>参加并通过人民银行组织或认可的反假货币业务考试</w:t>
      </w:r>
      <w:r>
        <w:rPr>
          <w:rFonts w:hint="eastAsia" w:ascii="彩虹粗仿宋" w:hAnsi="宋体" w:eastAsia="彩虹粗仿宋" w:cs="Times New Roman"/>
          <w:snapToGrid w:val="0"/>
          <w:color w:val="auto"/>
          <w:kern w:val="0"/>
          <w:sz w:val="32"/>
          <w:szCs w:val="32"/>
          <w:lang w:val="en-US" w:eastAsia="zh-CN"/>
        </w:rPr>
        <w:t>，取得有效合格证书。逾期未取得合格证书的人员不得继续从事现金清分相关工作；若逾期仍安排上岗作业，视同单个二级机构未达最低岗位配置影响清分作业正常开展</w:t>
      </w:r>
      <w:r>
        <w:rPr>
          <w:rFonts w:hint="eastAsia" w:ascii="彩虹粗仿宋" w:hAnsi="宋体" w:eastAsia="彩虹粗仿宋" w:cs="Times New Roman"/>
          <w:snapToGrid w:val="0"/>
          <w:color w:val="auto"/>
          <w:kern w:val="0"/>
          <w:sz w:val="32"/>
          <w:szCs w:val="32"/>
          <w:highlight w:val="none"/>
          <w:lang w:val="en-US" w:eastAsia="zh-CN"/>
        </w:rPr>
        <w:t>扣罚条款予以扣罚</w:t>
      </w:r>
      <w:r>
        <w:rPr>
          <w:rFonts w:hint="eastAsia" w:ascii="彩虹粗仿宋" w:hAnsi="宋体" w:eastAsia="彩虹粗仿宋" w:cs="Times New Roman"/>
          <w:snapToGrid w:val="0"/>
          <w:color w:val="auto"/>
          <w:kern w:val="0"/>
          <w:sz w:val="32"/>
          <w:szCs w:val="32"/>
          <w:highlight w:val="none"/>
        </w:rPr>
        <w:t>。</w:t>
      </w:r>
      <w:r>
        <w:rPr>
          <w:rFonts w:hint="eastAsia" w:ascii="彩虹粗仿宋" w:hAnsi="彩虹粗仿宋" w:eastAsia="彩虹粗仿宋" w:cs="彩虹粗仿宋"/>
          <w:color w:val="auto"/>
          <w:sz w:val="32"/>
          <w:szCs w:val="32"/>
          <w:lang w:eastAsia="zh-CN"/>
        </w:rPr>
        <w:t>上岗外包人员</w:t>
      </w:r>
      <w:r>
        <w:rPr>
          <w:rFonts w:hint="eastAsia" w:ascii="彩虹粗仿宋" w:hAnsi="彩虹粗仿宋" w:eastAsia="彩虹粗仿宋" w:cs="彩虹粗仿宋"/>
          <w:color w:val="auto"/>
          <w:sz w:val="32"/>
          <w:szCs w:val="32"/>
        </w:rPr>
        <w:t>具备下列货币鉴别能力要求：</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hint="eastAsia" w:ascii="彩虹粗仿宋" w:hAnsi="彩虹粗仿宋" w:eastAsia="彩虹粗仿宋" w:cs="彩虹粗仿宋"/>
          <w:color w:val="auto"/>
          <w:sz w:val="32"/>
          <w:szCs w:val="32"/>
        </w:rPr>
      </w:pPr>
      <w:r>
        <w:rPr>
          <w:rFonts w:hint="eastAsia" w:ascii="彩虹粗仿宋" w:hAnsi="彩虹粗仿宋" w:eastAsia="彩虹粗仿宋" w:cs="彩虹粗仿宋"/>
          <w:color w:val="auto"/>
          <w:sz w:val="32"/>
          <w:szCs w:val="32"/>
        </w:rPr>
        <w:t>（1）业务知识：熟悉反假货币相关法律规定以及人民银行货币鉴别和假币收缴管理办法内容，全面掌握流通中人民币纸币、硬币防伪特征、普通纪念钞（币）防伪特征（以近3年为主）、假人民币伪造特点，业务知识能够满足日常反假货币工作需要。其中，办理外币清分</w:t>
      </w:r>
      <w:r>
        <w:rPr>
          <w:rFonts w:hint="eastAsia" w:ascii="彩虹粗仿宋" w:hAnsi="彩虹粗仿宋" w:eastAsia="彩虹粗仿宋" w:cs="彩虹粗仿宋"/>
          <w:color w:val="auto"/>
          <w:sz w:val="32"/>
          <w:szCs w:val="32"/>
          <w:lang w:eastAsia="zh-CN"/>
        </w:rPr>
        <w:t>整点</w:t>
      </w:r>
      <w:r>
        <w:rPr>
          <w:rFonts w:hint="eastAsia" w:ascii="彩虹粗仿宋" w:hAnsi="彩虹粗仿宋" w:eastAsia="彩虹粗仿宋" w:cs="彩虹粗仿宋"/>
          <w:color w:val="auto"/>
          <w:sz w:val="32"/>
          <w:szCs w:val="32"/>
        </w:rPr>
        <w:t>业务的</w:t>
      </w:r>
      <w:r>
        <w:rPr>
          <w:rFonts w:hint="eastAsia" w:ascii="彩虹粗仿宋" w:hAnsi="彩虹粗仿宋" w:eastAsia="彩虹粗仿宋" w:cs="彩虹粗仿宋"/>
          <w:color w:val="auto"/>
          <w:sz w:val="32"/>
          <w:szCs w:val="32"/>
          <w:lang w:eastAsia="zh-CN"/>
        </w:rPr>
        <w:t>外包清分人员</w:t>
      </w:r>
      <w:r>
        <w:rPr>
          <w:rFonts w:hint="eastAsia" w:ascii="彩虹粗仿宋" w:hAnsi="彩虹粗仿宋" w:eastAsia="彩虹粗仿宋" w:cs="彩虹粗仿宋"/>
          <w:color w:val="auto"/>
          <w:sz w:val="32"/>
          <w:szCs w:val="32"/>
        </w:rPr>
        <w:t>需全面掌握主要外币样式、防伪特征与伪造特点。</w:t>
      </w:r>
    </w:p>
    <w:p>
      <w:pPr>
        <w:keepNext w:val="0"/>
        <w:keepLines w:val="0"/>
        <w:pageBreakBefore w:val="0"/>
        <w:widowControl w:val="0"/>
        <w:kinsoku/>
        <w:wordWrap/>
        <w:overflowPunct/>
        <w:topLinePunct w:val="0"/>
        <w:autoSpaceDE w:val="0"/>
        <w:autoSpaceDN w:val="0"/>
        <w:bidi w:val="0"/>
        <w:adjustRightInd w:val="0"/>
        <w:snapToGrid w:val="0"/>
        <w:spacing w:line="587" w:lineRule="exact"/>
        <w:ind w:firstLine="640" w:firstLineChars="200"/>
        <w:jc w:val="both"/>
        <w:textAlignment w:val="auto"/>
        <w:rPr>
          <w:rFonts w:ascii="彩虹粗仿宋" w:hAnsi="宋体" w:eastAsia="彩虹粗仿宋" w:cs="Times New Roman"/>
          <w:snapToGrid w:val="0"/>
          <w:color w:val="auto"/>
          <w:kern w:val="0"/>
          <w:sz w:val="32"/>
          <w:szCs w:val="32"/>
          <w:highlight w:val="none"/>
        </w:rPr>
      </w:pPr>
      <w:r>
        <w:rPr>
          <w:rFonts w:hint="eastAsia" w:ascii="彩虹粗仿宋" w:hAnsi="彩虹粗仿宋" w:eastAsia="彩虹粗仿宋" w:cs="彩虹粗仿宋"/>
          <w:color w:val="auto"/>
          <w:sz w:val="32"/>
          <w:szCs w:val="32"/>
        </w:rPr>
        <w:t>（2）工作技能：具备人民币及</w:t>
      </w:r>
      <w:r>
        <w:rPr>
          <w:rFonts w:hint="eastAsia" w:ascii="彩虹粗仿宋" w:hAnsi="彩虹粗仿宋" w:eastAsia="彩虹粗仿宋" w:cs="彩虹粗仿宋"/>
          <w:color w:val="auto"/>
          <w:sz w:val="32"/>
          <w:szCs w:val="32"/>
          <w:lang w:eastAsia="zh-CN"/>
        </w:rPr>
        <w:t>主要</w:t>
      </w:r>
      <w:r>
        <w:rPr>
          <w:rFonts w:hint="eastAsia" w:ascii="彩虹粗仿宋" w:hAnsi="彩虹粗仿宋" w:eastAsia="彩虹粗仿宋" w:cs="彩虹粗仿宋"/>
          <w:color w:val="auto"/>
          <w:sz w:val="32"/>
          <w:szCs w:val="32"/>
        </w:rPr>
        <w:t>外币的现钞鉴伪能力</w:t>
      </w:r>
      <w:r>
        <w:rPr>
          <w:rFonts w:hint="eastAsia" w:ascii="彩虹粗仿宋" w:hAnsi="彩虹粗仿宋" w:eastAsia="彩虹粗仿宋" w:cs="彩虹粗仿宋"/>
          <w:color w:val="auto"/>
          <w:sz w:val="32"/>
          <w:szCs w:val="32"/>
          <w:lang w:eastAsia="zh-CN"/>
        </w:rPr>
        <w:t>，</w:t>
      </w:r>
      <w:r>
        <w:rPr>
          <w:rFonts w:hint="eastAsia" w:ascii="彩虹粗仿宋" w:hAnsi="彩虹粗仿宋" w:eastAsia="彩虹粗仿宋" w:cs="彩虹粗仿宋"/>
          <w:color w:val="auto"/>
          <w:sz w:val="32"/>
          <w:szCs w:val="32"/>
        </w:rPr>
        <w:t>能够熟练运用现金机具并结合人工识别鉴别货币真伪，准确挑出伪（变）造币，规范处置发现的假币实物，按要求上缴假币实物并报送相关信息，具备一定的假币堵截能力。</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3</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指派专人负责</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人员日常管理工作，并严格按照劳动纪律、相关制度、流程规范约束本公司人员。</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shd w:val="clear"/>
          <w:lang w:val="en-US" w:eastAsia="zh-CN"/>
        </w:rPr>
      </w:pPr>
      <w:r>
        <w:rPr>
          <w:rFonts w:hint="eastAsia" w:ascii="彩虹粗仿宋" w:hAnsi="宋体" w:eastAsia="彩虹粗仿宋" w:cs="Times New Roman"/>
          <w:snapToGrid w:val="0"/>
          <w:color w:val="auto"/>
          <w:kern w:val="0"/>
          <w:sz w:val="32"/>
          <w:szCs w:val="32"/>
          <w:lang w:val="en-US" w:eastAsia="zh-CN"/>
        </w:rPr>
        <w:t>4</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shd w:val="clear"/>
          <w:lang w:val="en-US" w:eastAsia="zh-CN"/>
        </w:rPr>
        <w:t>投标人须按照我行下辖二级机构现金清分业务规模、排班计划、内控合规管理标准足额配备现金清分整点作业人员屡岗，</w:t>
      </w:r>
      <w:r>
        <w:rPr>
          <w:rFonts w:hint="eastAsia" w:ascii="彩虹粗仿宋" w:hAnsi="宋体" w:eastAsia="彩虹粗仿宋" w:cs="Times New Roman"/>
          <w:snapToGrid w:val="0"/>
          <w:color w:val="auto"/>
          <w:kern w:val="0"/>
          <w:sz w:val="32"/>
          <w:szCs w:val="32"/>
          <w:lang w:val="en-US" w:eastAsia="zh-CN"/>
        </w:rPr>
        <w:t>满足行方清分业务峰值及日常运营需求</w:t>
      </w:r>
      <w:r>
        <w:rPr>
          <w:rFonts w:hint="eastAsia" w:ascii="彩虹粗仿宋" w:hAnsi="宋体" w:eastAsia="彩虹粗仿宋" w:cs="Times New Roman"/>
          <w:snapToGrid w:val="0"/>
          <w:color w:val="auto"/>
          <w:kern w:val="0"/>
          <w:sz w:val="32"/>
          <w:szCs w:val="32"/>
          <w:shd w:val="clear"/>
          <w:lang w:val="en-US" w:eastAsia="zh-CN"/>
        </w:rPr>
        <w:t>，保障清分整点业务不间断平稳运行。各二级分支机构现金清分作业岗位最低配置标准为：至少设置现金清分经办岗、现金清分复核岗各1名，实行经办、复核不兼容岗位分设、双人操作管控机制。</w:t>
      </w:r>
    </w:p>
    <w:p>
      <w:pPr>
        <w:keepNext w:val="0"/>
        <w:keepLines w:val="0"/>
        <w:pageBreakBefore w:val="0"/>
        <w:kinsoku/>
        <w:wordWrap/>
        <w:overflowPunct/>
        <w:topLinePunct w:val="0"/>
        <w:autoSpaceDE/>
        <w:autoSpaceDN/>
        <w:bidi w:val="0"/>
        <w:spacing w:line="240" w:lineRule="auto"/>
        <w:ind w:firstLine="0" w:firstLineChars="0"/>
        <w:jc w:val="both"/>
        <w:rPr>
          <w:rFonts w:hint="default" w:ascii="彩虹粗仿宋" w:hAnsi="宋体" w:eastAsia="彩虹粗仿宋" w:cs="Times New Roman"/>
          <w:snapToGrid w:val="0"/>
          <w:color w:val="auto"/>
          <w:kern w:val="0"/>
          <w:sz w:val="32"/>
          <w:szCs w:val="32"/>
          <w:lang w:val="en-US"/>
        </w:rPr>
      </w:pPr>
      <w:r>
        <w:rPr>
          <w:rFonts w:hint="eastAsia" w:ascii="彩虹粗仿宋" w:hAnsi="宋体" w:eastAsia="彩虹粗仿宋" w:cs="Times New Roman"/>
          <w:snapToGrid w:val="0"/>
          <w:color w:val="auto"/>
          <w:kern w:val="0"/>
          <w:sz w:val="32"/>
          <w:szCs w:val="32"/>
          <w:lang w:val="en-US" w:eastAsia="zh-CN"/>
        </w:rPr>
        <w:t xml:space="preserve">    </w:t>
      </w:r>
      <w:r>
        <w:rPr>
          <w:rFonts w:hint="eastAsia" w:ascii="彩虹粗仿宋" w:hAnsi="Calibri" w:eastAsia="彩虹粗仿宋" w:cs="黑体"/>
          <w:sz w:val="32"/>
          <w:szCs w:val="32"/>
          <w:highlight w:val="none"/>
          <w:lang w:val="en-US" w:eastAsia="zh-CN"/>
        </w:rPr>
        <w:t>5.</w:t>
      </w:r>
      <w:r>
        <w:rPr>
          <w:rFonts w:hint="eastAsia" w:ascii="彩虹粗仿宋" w:hAnsi="Calibri" w:eastAsia="彩虹粗仿宋" w:cs="黑体"/>
          <w:sz w:val="32"/>
          <w:szCs w:val="32"/>
          <w:highlight w:val="none"/>
        </w:rPr>
        <w:t>行方可根据业务量需要</w:t>
      </w:r>
      <w:r>
        <w:rPr>
          <w:rFonts w:hint="eastAsia" w:ascii="彩虹粗仿宋" w:hAnsi="Calibri" w:eastAsia="彩虹粗仿宋" w:cs="黑体"/>
          <w:sz w:val="32"/>
          <w:szCs w:val="32"/>
          <w:highlight w:val="none"/>
          <w:lang w:eastAsia="zh-CN"/>
        </w:rPr>
        <w:t>临时性增配投标人员工。</w:t>
      </w:r>
      <w:r>
        <w:rPr>
          <w:rFonts w:hint="eastAsia" w:ascii="彩虹粗仿宋" w:hAnsi="宋体" w:eastAsia="彩虹粗仿宋" w:cs="Times New Roman"/>
          <w:snapToGrid w:val="0"/>
          <w:color w:val="auto"/>
          <w:kern w:val="0"/>
          <w:sz w:val="32"/>
          <w:szCs w:val="32"/>
          <w:lang w:eastAsia="zh-CN"/>
        </w:rPr>
        <w:t>由行方提前</w:t>
      </w:r>
      <w:r>
        <w:rPr>
          <w:rFonts w:hint="eastAsia" w:ascii="彩虹粗仿宋" w:hAnsi="宋体" w:eastAsia="彩虹粗仿宋" w:cs="Times New Roman"/>
          <w:snapToGrid w:val="0"/>
          <w:color w:val="auto"/>
          <w:kern w:val="0"/>
          <w:sz w:val="32"/>
          <w:szCs w:val="32"/>
          <w:lang w:val="en-US" w:eastAsia="zh-CN"/>
        </w:rPr>
        <w:t>15日向投标人提出书面通知，投标人按通知时间提交临时增加员工的上岗资料并安排到岗。投标人临时增加员工到岗后工作最长可不超过一个月。</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Calibri" w:eastAsia="彩虹粗仿宋" w:cs="黑体"/>
          <w:sz w:val="32"/>
          <w:szCs w:val="32"/>
          <w:highlight w:val="none"/>
          <w:lang w:val="en-US" w:eastAsia="zh-CN"/>
        </w:rPr>
      </w:pPr>
      <w:r>
        <w:rPr>
          <w:rFonts w:hint="eastAsia" w:ascii="彩虹粗仿宋" w:hAnsi="Calibri" w:eastAsia="彩虹粗仿宋" w:cs="黑体"/>
          <w:sz w:val="32"/>
          <w:szCs w:val="32"/>
          <w:highlight w:val="none"/>
          <w:lang w:eastAsia="zh-CN"/>
        </w:rPr>
        <w:t>投标人员工需常规休假的，投标人应提前</w:t>
      </w:r>
      <w:r>
        <w:rPr>
          <w:rFonts w:hint="eastAsia" w:ascii="彩虹粗仿宋" w:hAnsi="Calibri" w:eastAsia="彩虹粗仿宋" w:cs="黑体"/>
          <w:sz w:val="32"/>
          <w:szCs w:val="32"/>
          <w:highlight w:val="none"/>
          <w:lang w:val="en-US" w:eastAsia="zh-CN"/>
        </w:rPr>
        <w:t>7日向行方提交书面通知，告知行方休假员工休假时间，临时接替工作员工姓名、身份证号等相关信息，并提交临时接替工作员工的上岗资料。</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Calibri" w:eastAsia="彩虹粗仿宋" w:cs="黑体"/>
          <w:sz w:val="32"/>
          <w:szCs w:val="32"/>
          <w:highlight w:val="none"/>
          <w:lang w:val="en-US" w:eastAsia="zh-CN"/>
        </w:rPr>
      </w:pPr>
      <w:r>
        <w:rPr>
          <w:rFonts w:hint="eastAsia" w:ascii="彩虹粗仿宋" w:hAnsi="Calibri" w:eastAsia="彩虹粗仿宋" w:cs="黑体"/>
          <w:sz w:val="32"/>
          <w:szCs w:val="32"/>
          <w:highlight w:val="none"/>
          <w:lang w:eastAsia="zh-CN"/>
        </w:rPr>
        <w:t>投标人员工因突发事件临时请假的，投标人应在</w:t>
      </w:r>
      <w:r>
        <w:rPr>
          <w:rFonts w:hint="eastAsia" w:ascii="彩虹粗仿宋" w:hAnsi="Calibri" w:eastAsia="彩虹粗仿宋" w:cs="黑体"/>
          <w:sz w:val="32"/>
          <w:szCs w:val="32"/>
          <w:highlight w:val="none"/>
          <w:lang w:val="en-US" w:eastAsia="zh-CN"/>
        </w:rPr>
        <w:t>2日内向行方提交接替工作员工的上岗资料并安排到岗。</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Calibri" w:eastAsia="彩虹粗仿宋" w:cs="黑体"/>
          <w:sz w:val="32"/>
          <w:szCs w:val="32"/>
          <w:highlight w:val="none"/>
          <w:lang w:val="en-US" w:eastAsia="zh-CN"/>
        </w:rPr>
      </w:pPr>
      <w:r>
        <w:rPr>
          <w:rFonts w:hint="eastAsia" w:ascii="彩虹粗仿宋" w:hAnsi="Calibri" w:eastAsia="彩虹粗仿宋" w:cs="黑体"/>
          <w:sz w:val="32"/>
          <w:szCs w:val="32"/>
          <w:highlight w:val="none"/>
          <w:lang w:val="en-US" w:eastAsia="zh-CN"/>
        </w:rPr>
        <w:t>行方因业务增量，需常规性增配投标人人员屡岗</w:t>
      </w:r>
      <w:r>
        <w:rPr>
          <w:rFonts w:hint="default" w:ascii="彩虹粗仿宋" w:hAnsi="Calibri" w:eastAsia="彩虹粗仿宋" w:cs="黑体"/>
          <w:sz w:val="32"/>
          <w:szCs w:val="32"/>
          <w:highlight w:val="none"/>
          <w:lang w:val="en-US" w:eastAsia="zh-CN"/>
        </w:rPr>
        <w:t>，</w:t>
      </w:r>
      <w:r>
        <w:rPr>
          <w:rFonts w:hint="eastAsia" w:ascii="彩虹粗仿宋" w:hAnsi="Calibri" w:eastAsia="彩虹粗仿宋" w:cs="黑体"/>
          <w:sz w:val="32"/>
          <w:szCs w:val="32"/>
          <w:highlight w:val="none"/>
          <w:lang w:val="en-US" w:eastAsia="zh-CN"/>
        </w:rPr>
        <w:t>行方</w:t>
      </w:r>
      <w:r>
        <w:rPr>
          <w:rFonts w:hint="default" w:ascii="彩虹粗仿宋" w:hAnsi="Calibri" w:eastAsia="彩虹粗仿宋" w:cs="黑体"/>
          <w:sz w:val="32"/>
          <w:szCs w:val="32"/>
          <w:highlight w:val="none"/>
          <w:lang w:val="en-US" w:eastAsia="zh-CN"/>
        </w:rPr>
        <w:t>提前</w:t>
      </w:r>
      <w:r>
        <w:rPr>
          <w:rFonts w:hint="eastAsia" w:ascii="彩虹粗仿宋" w:hAnsi="Calibri" w:eastAsia="彩虹粗仿宋" w:cs="黑体"/>
          <w:sz w:val="32"/>
          <w:szCs w:val="32"/>
          <w:highlight w:val="none"/>
          <w:lang w:val="en-US" w:eastAsia="zh-CN"/>
        </w:rPr>
        <w:t>1</w:t>
      </w:r>
      <w:r>
        <w:rPr>
          <w:rFonts w:hint="default" w:ascii="彩虹粗仿宋" w:hAnsi="Calibri" w:eastAsia="彩虹粗仿宋" w:cs="黑体"/>
          <w:sz w:val="32"/>
          <w:szCs w:val="32"/>
          <w:highlight w:val="none"/>
          <w:lang w:val="en-US" w:eastAsia="zh-CN"/>
        </w:rPr>
        <w:t>5个工作日出具《</w:t>
      </w:r>
      <w:r>
        <w:rPr>
          <w:rFonts w:hint="eastAsia" w:ascii="彩虹粗仿宋" w:hAnsi="Calibri" w:eastAsia="彩虹粗仿宋" w:cs="黑体"/>
          <w:sz w:val="32"/>
          <w:szCs w:val="32"/>
          <w:highlight w:val="none"/>
          <w:lang w:val="en-US" w:eastAsia="zh-CN"/>
        </w:rPr>
        <w:t>外包人员增配</w:t>
      </w:r>
      <w:r>
        <w:rPr>
          <w:rFonts w:hint="default" w:ascii="彩虹粗仿宋" w:hAnsi="Calibri" w:eastAsia="彩虹粗仿宋" w:cs="黑体"/>
          <w:sz w:val="32"/>
          <w:szCs w:val="32"/>
          <w:highlight w:val="none"/>
          <w:lang w:val="en-US" w:eastAsia="zh-CN"/>
        </w:rPr>
        <w:t>通知单》，</w:t>
      </w:r>
      <w:r>
        <w:rPr>
          <w:rFonts w:hint="eastAsia" w:ascii="彩虹粗仿宋" w:hAnsi="Calibri" w:eastAsia="彩虹粗仿宋" w:cs="黑体"/>
          <w:sz w:val="32"/>
          <w:szCs w:val="32"/>
          <w:highlight w:val="none"/>
          <w:lang w:val="en-US" w:eastAsia="zh-CN"/>
        </w:rPr>
        <w:t>投标人</w:t>
      </w:r>
      <w:r>
        <w:rPr>
          <w:rFonts w:hint="default" w:ascii="彩虹粗仿宋" w:hAnsi="Calibri" w:eastAsia="彩虹粗仿宋" w:cs="黑体"/>
          <w:sz w:val="32"/>
          <w:szCs w:val="32"/>
          <w:highlight w:val="none"/>
          <w:lang w:val="en-US" w:eastAsia="zh-CN"/>
        </w:rPr>
        <w:t>在通知时限内完成招聘、政审、岗前培训</w:t>
      </w:r>
      <w:r>
        <w:rPr>
          <w:rFonts w:hint="eastAsia" w:ascii="彩虹粗仿宋" w:hAnsi="Calibri" w:eastAsia="彩虹粗仿宋" w:cs="黑体"/>
          <w:sz w:val="32"/>
          <w:szCs w:val="32"/>
          <w:highlight w:val="none"/>
          <w:lang w:val="en-US" w:eastAsia="zh-CN"/>
        </w:rPr>
        <w:t>及考核后，向行</w:t>
      </w:r>
      <w:r>
        <w:rPr>
          <w:rFonts w:hint="default" w:ascii="彩虹粗仿宋" w:hAnsi="Calibri" w:eastAsia="彩虹粗仿宋" w:cs="黑体"/>
          <w:sz w:val="32"/>
          <w:szCs w:val="32"/>
          <w:highlight w:val="none"/>
          <w:lang w:val="en-US" w:eastAsia="zh-CN"/>
        </w:rPr>
        <w:t>方</w:t>
      </w:r>
      <w:r>
        <w:rPr>
          <w:rFonts w:hint="eastAsia" w:ascii="彩虹粗仿宋" w:hAnsi="Calibri" w:eastAsia="彩虹粗仿宋" w:cs="黑体"/>
          <w:sz w:val="32"/>
          <w:szCs w:val="32"/>
          <w:highlight w:val="none"/>
          <w:lang w:val="en-US" w:eastAsia="zh-CN"/>
        </w:rPr>
        <w:t>提交上岗资料并安排到</w:t>
      </w:r>
      <w:r>
        <w:rPr>
          <w:rFonts w:hint="default" w:ascii="彩虹粗仿宋" w:hAnsi="Calibri" w:eastAsia="彩虹粗仿宋" w:cs="黑体"/>
          <w:sz w:val="32"/>
          <w:szCs w:val="32"/>
          <w:highlight w:val="none"/>
          <w:lang w:val="en-US" w:eastAsia="zh-CN"/>
        </w:rPr>
        <w:t>岗</w:t>
      </w:r>
      <w:r>
        <w:rPr>
          <w:rFonts w:hint="eastAsia" w:ascii="彩虹粗仿宋" w:hAnsi="Calibri" w:eastAsia="彩虹粗仿宋" w:cs="黑体"/>
          <w:sz w:val="32"/>
          <w:szCs w:val="32"/>
          <w:highlight w:val="none"/>
          <w:lang w:val="en-US" w:eastAsia="zh-CN"/>
        </w:rPr>
        <w:t>。</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Calibri" w:eastAsia="彩虹粗仿宋" w:cs="黑体"/>
          <w:sz w:val="32"/>
          <w:szCs w:val="32"/>
          <w:highlight w:val="none"/>
          <w:lang w:val="en-US" w:eastAsia="zh-CN"/>
        </w:rPr>
      </w:pPr>
      <w:r>
        <w:rPr>
          <w:rFonts w:hint="eastAsia" w:ascii="彩虹粗仿宋" w:hAnsi="Calibri" w:eastAsia="彩虹粗仿宋" w:cs="黑体"/>
          <w:sz w:val="32"/>
          <w:szCs w:val="32"/>
          <w:highlight w:val="none"/>
          <w:lang w:val="en-US" w:eastAsia="zh-CN"/>
        </w:rPr>
        <w:t>6.投标人每季对投标人员工进行员工异常行为排查并向行方反馈书面报告。对存在可能引起风险事件的异常行为的员工要求不少于5天的强制休假，对存在不宜从事清分工作的异常行为员工应立即更换。</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（三）应急预案</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应制定</w:t>
      </w:r>
      <w:r>
        <w:rPr>
          <w:rFonts w:ascii="彩虹粗仿宋" w:hAnsi="宋体" w:eastAsia="彩虹粗仿宋" w:cs="Times New Roman"/>
          <w:snapToGrid w:val="0"/>
          <w:color w:val="auto"/>
          <w:kern w:val="0"/>
          <w:sz w:val="32"/>
          <w:szCs w:val="32"/>
        </w:rPr>
        <w:t>应急</w:t>
      </w:r>
      <w:r>
        <w:rPr>
          <w:rFonts w:hint="eastAsia" w:ascii="彩虹粗仿宋" w:hAnsi="宋体" w:eastAsia="彩虹粗仿宋" w:cs="Times New Roman"/>
          <w:snapToGrid w:val="0"/>
          <w:color w:val="auto"/>
          <w:kern w:val="0"/>
          <w:sz w:val="32"/>
          <w:szCs w:val="32"/>
        </w:rPr>
        <w:t>预案</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明确</w:t>
      </w:r>
      <w:r>
        <w:rPr>
          <w:rFonts w:ascii="彩虹粗仿宋" w:hAnsi="宋体" w:eastAsia="彩虹粗仿宋" w:cs="Times New Roman"/>
          <w:snapToGrid w:val="0"/>
          <w:color w:val="auto"/>
          <w:kern w:val="0"/>
          <w:sz w:val="32"/>
          <w:szCs w:val="32"/>
        </w:rPr>
        <w:t>应急事项处理措施，</w:t>
      </w:r>
      <w:r>
        <w:rPr>
          <w:rFonts w:hint="eastAsia" w:ascii="彩虹粗仿宋" w:hAnsi="宋体" w:eastAsia="彩虹粗仿宋" w:cs="Times New Roman"/>
          <w:snapToGrid w:val="0"/>
          <w:color w:val="auto"/>
          <w:kern w:val="0"/>
          <w:sz w:val="32"/>
          <w:szCs w:val="32"/>
        </w:rPr>
        <w:t>具备区域内统筹应急调配人员能力，保证突发事件时行方业务不受影响。行方组织的安全和消防知识学习、突发性应急预案演练等涉及</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时，</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应给与配合。</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rPr>
        <w:t>（四）清分差错</w:t>
      </w:r>
      <w:r>
        <w:rPr>
          <w:rFonts w:hint="eastAsia" w:ascii="彩虹粗仿宋" w:hAnsi="宋体" w:eastAsia="彩虹粗仿宋" w:cs="Times New Roman"/>
          <w:snapToGrid w:val="0"/>
          <w:color w:val="auto"/>
          <w:kern w:val="0"/>
          <w:sz w:val="32"/>
          <w:szCs w:val="32"/>
          <w:lang w:eastAsia="zh-CN"/>
        </w:rPr>
        <w:t>、</w:t>
      </w:r>
      <w:r>
        <w:rPr>
          <w:rFonts w:hint="eastAsia" w:ascii="彩虹粗仿宋" w:hAnsi="宋体" w:eastAsia="彩虹粗仿宋" w:cs="Times New Roman"/>
          <w:snapToGrid w:val="0"/>
          <w:color w:val="auto"/>
          <w:kern w:val="0"/>
          <w:sz w:val="32"/>
          <w:szCs w:val="32"/>
        </w:rPr>
        <w:t>赔偿</w:t>
      </w:r>
      <w:r>
        <w:rPr>
          <w:rFonts w:hint="eastAsia" w:ascii="彩虹粗仿宋" w:hAnsi="宋体" w:eastAsia="彩虹粗仿宋" w:cs="Times New Roman"/>
          <w:snapToGrid w:val="0"/>
          <w:color w:val="auto"/>
          <w:kern w:val="0"/>
          <w:sz w:val="32"/>
          <w:szCs w:val="32"/>
          <w:lang w:eastAsia="zh-CN"/>
        </w:rPr>
        <w:t>与奖励</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1.投标人</w:t>
      </w:r>
      <w:r>
        <w:rPr>
          <w:rFonts w:hint="default" w:ascii="彩虹粗仿宋" w:hAnsi="宋体" w:eastAsia="彩虹粗仿宋" w:cs="Times New Roman"/>
          <w:snapToGrid w:val="0"/>
          <w:color w:val="auto"/>
          <w:kern w:val="0"/>
          <w:sz w:val="32"/>
          <w:szCs w:val="32"/>
          <w:lang w:val="en-US" w:eastAsia="zh-CN"/>
        </w:rPr>
        <w:t>及</w:t>
      </w:r>
      <w:r>
        <w:rPr>
          <w:rFonts w:hint="eastAsia" w:ascii="彩虹粗仿宋" w:hAnsi="宋体" w:eastAsia="彩虹粗仿宋" w:cs="Times New Roman"/>
          <w:snapToGrid w:val="0"/>
          <w:color w:val="auto"/>
          <w:kern w:val="0"/>
          <w:sz w:val="32"/>
          <w:szCs w:val="32"/>
          <w:lang w:val="en-US" w:eastAsia="zh-CN"/>
        </w:rPr>
        <w:t>投标人员工</w:t>
      </w:r>
      <w:r>
        <w:rPr>
          <w:rFonts w:hint="default" w:ascii="彩虹粗仿宋" w:hAnsi="宋体" w:eastAsia="彩虹粗仿宋" w:cs="Times New Roman"/>
          <w:snapToGrid w:val="0"/>
          <w:color w:val="auto"/>
          <w:kern w:val="0"/>
          <w:sz w:val="32"/>
          <w:szCs w:val="32"/>
          <w:lang w:val="en-US" w:eastAsia="zh-CN"/>
        </w:rPr>
        <w:t>必须严格执行</w:t>
      </w:r>
      <w:r>
        <w:rPr>
          <w:rFonts w:hint="eastAsia" w:ascii="彩虹粗仿宋" w:hAnsi="宋体" w:eastAsia="彩虹粗仿宋" w:cs="Times New Roman"/>
          <w:snapToGrid w:val="0"/>
          <w:color w:val="auto"/>
          <w:kern w:val="0"/>
          <w:sz w:val="32"/>
          <w:szCs w:val="32"/>
          <w:lang w:val="en-US" w:eastAsia="zh-CN"/>
        </w:rPr>
        <w:t>行</w:t>
      </w:r>
      <w:r>
        <w:rPr>
          <w:rFonts w:hint="default" w:ascii="彩虹粗仿宋" w:hAnsi="宋体" w:eastAsia="彩虹粗仿宋" w:cs="Times New Roman"/>
          <w:snapToGrid w:val="0"/>
          <w:color w:val="auto"/>
          <w:kern w:val="0"/>
          <w:sz w:val="32"/>
          <w:szCs w:val="32"/>
          <w:lang w:val="en-US" w:eastAsia="zh-CN"/>
        </w:rPr>
        <w:t>方规定的相关制度作业流程和作业标准，严禁擅自调整。对于擅自调整作业流程和作业标准或违反</w:t>
      </w:r>
      <w:r>
        <w:rPr>
          <w:rFonts w:hint="eastAsia" w:ascii="彩虹粗仿宋" w:hAnsi="宋体" w:eastAsia="彩虹粗仿宋" w:cs="Times New Roman"/>
          <w:snapToGrid w:val="0"/>
          <w:color w:val="auto"/>
          <w:kern w:val="0"/>
          <w:sz w:val="32"/>
          <w:szCs w:val="32"/>
          <w:lang w:val="en-US" w:eastAsia="zh-CN"/>
        </w:rPr>
        <w:t>行</w:t>
      </w:r>
      <w:r>
        <w:rPr>
          <w:rFonts w:hint="default" w:ascii="彩虹粗仿宋" w:hAnsi="宋体" w:eastAsia="彩虹粗仿宋" w:cs="Times New Roman"/>
          <w:snapToGrid w:val="0"/>
          <w:color w:val="auto"/>
          <w:kern w:val="0"/>
          <w:sz w:val="32"/>
          <w:szCs w:val="32"/>
          <w:lang w:val="en-US" w:eastAsia="zh-CN"/>
        </w:rPr>
        <w:t>方相关制度造成严重后果的，</w:t>
      </w:r>
      <w:r>
        <w:rPr>
          <w:rFonts w:hint="eastAsia" w:ascii="彩虹粗仿宋" w:hAnsi="宋体" w:eastAsia="彩虹粗仿宋" w:cs="Times New Roman"/>
          <w:snapToGrid w:val="0"/>
          <w:color w:val="auto"/>
          <w:kern w:val="0"/>
          <w:sz w:val="32"/>
          <w:szCs w:val="32"/>
          <w:lang w:val="en-US" w:eastAsia="zh-CN"/>
        </w:rPr>
        <w:t>行</w:t>
      </w:r>
      <w:r>
        <w:rPr>
          <w:rFonts w:hint="default" w:ascii="彩虹粗仿宋" w:hAnsi="宋体" w:eastAsia="彩虹粗仿宋" w:cs="Times New Roman"/>
          <w:snapToGrid w:val="0"/>
          <w:color w:val="auto"/>
          <w:kern w:val="0"/>
          <w:sz w:val="32"/>
          <w:szCs w:val="32"/>
          <w:lang w:val="en-US" w:eastAsia="zh-CN"/>
        </w:rPr>
        <w:t>方将根据风险程度要求</w:t>
      </w:r>
      <w:r>
        <w:rPr>
          <w:rFonts w:hint="eastAsia" w:ascii="彩虹粗仿宋" w:hAnsi="宋体" w:eastAsia="彩虹粗仿宋" w:cs="Times New Roman"/>
          <w:snapToGrid w:val="0"/>
          <w:color w:val="auto"/>
          <w:kern w:val="0"/>
          <w:sz w:val="32"/>
          <w:szCs w:val="32"/>
          <w:lang w:val="en-US" w:eastAsia="zh-CN"/>
        </w:rPr>
        <w:t>投标人扣罚</w:t>
      </w:r>
      <w:r>
        <w:rPr>
          <w:rFonts w:hint="default" w:ascii="彩虹粗仿宋" w:hAnsi="宋体" w:eastAsia="彩虹粗仿宋" w:cs="Times New Roman"/>
          <w:snapToGrid w:val="0"/>
          <w:color w:val="auto"/>
          <w:kern w:val="0"/>
          <w:sz w:val="32"/>
          <w:szCs w:val="32"/>
          <w:lang w:val="en-US" w:eastAsia="zh-CN"/>
        </w:rPr>
        <w:t>服务费用2000-5000元。如造成损失，</w:t>
      </w:r>
      <w:r>
        <w:rPr>
          <w:rFonts w:hint="eastAsia" w:ascii="彩虹粗仿宋" w:hAnsi="宋体" w:eastAsia="彩虹粗仿宋" w:cs="Times New Roman"/>
          <w:snapToGrid w:val="0"/>
          <w:color w:val="auto"/>
          <w:kern w:val="0"/>
          <w:sz w:val="32"/>
          <w:szCs w:val="32"/>
          <w:lang w:val="en-US" w:eastAsia="zh-CN"/>
        </w:rPr>
        <w:t>投标人</w:t>
      </w:r>
      <w:r>
        <w:rPr>
          <w:rFonts w:hint="default" w:ascii="彩虹粗仿宋" w:hAnsi="宋体" w:eastAsia="彩虹粗仿宋" w:cs="Times New Roman"/>
          <w:snapToGrid w:val="0"/>
          <w:color w:val="auto"/>
          <w:kern w:val="0"/>
          <w:sz w:val="32"/>
          <w:szCs w:val="32"/>
          <w:lang w:val="en-US" w:eastAsia="zh-CN"/>
        </w:rPr>
        <w:t>还应当承担赔偿责任。</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eastAsia="zh-CN"/>
        </w:rPr>
      </w:pPr>
      <w:r>
        <w:rPr>
          <w:rFonts w:hint="eastAsia" w:ascii="彩虹粗仿宋" w:hAnsi="宋体" w:eastAsia="彩虹粗仿宋" w:cs="Times New Roman"/>
          <w:snapToGrid w:val="0"/>
          <w:color w:val="auto"/>
          <w:kern w:val="0"/>
          <w:sz w:val="32"/>
          <w:szCs w:val="32"/>
          <w:lang w:val="en-US" w:eastAsia="zh-CN"/>
        </w:rPr>
        <w:t>单个二级机构最低岗位配置不足导致无法开展清分作业的，每缺1岗，每工作日按1000元/岗予以扣罚。罚款可从服务费或履约保证金中扣除。</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2.投标人因员工配置不足影响行方清分工作质效和进度的，行方有权追究投标人的赔偿责任。投标人未在方行要求的时间内完成作业任务的，行方有权进行扣罚，每延期1天扣罚服务费2000元。</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3.投标人应保证现金清分质量。对未严格执行上缴人行现金清分整点质量要求被人行通报残损券兑换不规范、钱捆大小封签不符的，</w:t>
      </w:r>
      <w:r>
        <w:rPr>
          <w:rFonts w:hint="eastAsia" w:ascii="彩虹粗仿宋" w:hAnsi="宋体" w:eastAsia="彩虹粗仿宋" w:cs="Times New Roman"/>
          <w:snapToGrid w:val="0"/>
          <w:color w:val="auto"/>
          <w:kern w:val="0"/>
          <w:sz w:val="32"/>
          <w:szCs w:val="32"/>
          <w:highlight w:val="none"/>
          <w:lang w:eastAsia="zh-CN"/>
        </w:rPr>
        <w:t>以地市为单位进行统计处罚，人行区分行每季度通报一次，</w:t>
      </w:r>
      <w:r>
        <w:rPr>
          <w:rFonts w:hint="eastAsia" w:ascii="彩虹粗仿宋" w:hAnsi="宋体" w:eastAsia="彩虹粗仿宋" w:cs="Times New Roman"/>
          <w:snapToGrid w:val="0"/>
          <w:color w:val="auto"/>
          <w:kern w:val="0"/>
          <w:sz w:val="32"/>
          <w:szCs w:val="32"/>
          <w:highlight w:val="none"/>
        </w:rPr>
        <w:t>扣罚</w:t>
      </w:r>
      <w:r>
        <w:rPr>
          <w:rFonts w:hint="eastAsia" w:ascii="彩虹粗仿宋" w:hAnsi="宋体" w:eastAsia="彩虹粗仿宋" w:cs="Times New Roman"/>
          <w:snapToGrid w:val="0"/>
          <w:color w:val="auto"/>
          <w:kern w:val="0"/>
          <w:sz w:val="32"/>
          <w:szCs w:val="32"/>
          <w:highlight w:val="none"/>
          <w:lang w:eastAsia="zh-CN"/>
        </w:rPr>
        <w:t>该地市季度服务费用</w:t>
      </w:r>
      <w:r>
        <w:rPr>
          <w:rFonts w:hint="eastAsia" w:ascii="彩虹粗仿宋" w:hAnsi="宋体" w:eastAsia="彩虹粗仿宋" w:cs="Times New Roman"/>
          <w:snapToGrid w:val="0"/>
          <w:color w:val="auto"/>
          <w:kern w:val="0"/>
          <w:sz w:val="32"/>
          <w:szCs w:val="32"/>
          <w:highlight w:val="none"/>
          <w:lang w:val="en-US" w:eastAsia="zh-CN"/>
        </w:rPr>
        <w:t>5</w:t>
      </w:r>
      <w:r>
        <w:rPr>
          <w:rFonts w:hint="eastAsia" w:ascii="彩虹粗仿宋" w:hAnsi="宋体" w:eastAsia="彩虹粗仿宋" w:cs="Times New Roman"/>
          <w:snapToGrid w:val="0"/>
          <w:color w:val="auto"/>
          <w:kern w:val="0"/>
          <w:sz w:val="32"/>
          <w:szCs w:val="32"/>
          <w:highlight w:val="none"/>
        </w:rPr>
        <w:t>00</w:t>
      </w:r>
      <w:r>
        <w:rPr>
          <w:rFonts w:hint="eastAsia" w:ascii="彩虹粗仿宋" w:hAnsi="宋体" w:eastAsia="彩虹粗仿宋" w:cs="Times New Roman"/>
          <w:snapToGrid w:val="0"/>
          <w:color w:val="auto"/>
          <w:kern w:val="0"/>
          <w:sz w:val="32"/>
          <w:szCs w:val="32"/>
          <w:lang w:val="en-US" w:eastAsia="zh-CN"/>
        </w:rPr>
        <w:t>元，造成严重后果的双倍扣罚。</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4</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整点时发现差错，须立即报告行方管理人员，</w:t>
      </w:r>
      <w:r>
        <w:rPr>
          <w:rFonts w:hint="eastAsia" w:ascii="彩虹粗仿宋" w:hAnsi="宋体" w:eastAsia="彩虹粗仿宋" w:cs="Times New Roman"/>
          <w:snapToGrid w:val="0"/>
          <w:color w:val="auto"/>
          <w:kern w:val="0"/>
          <w:sz w:val="32"/>
          <w:szCs w:val="32"/>
          <w:lang w:eastAsia="zh-CN"/>
        </w:rPr>
        <w:t>长短款</w:t>
      </w:r>
      <w:r>
        <w:rPr>
          <w:rFonts w:hint="eastAsia" w:ascii="彩虹粗仿宋" w:hAnsi="宋体" w:eastAsia="彩虹粗仿宋" w:cs="Times New Roman"/>
          <w:snapToGrid w:val="0"/>
          <w:color w:val="auto"/>
          <w:kern w:val="0"/>
          <w:sz w:val="32"/>
          <w:szCs w:val="32"/>
        </w:rPr>
        <w:t>差错由行方先行挂账，双方共同查清原因后按实际归属处理。</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整点现金发生差错的，</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应及时赔偿。若</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未及时赔偿的，行方有权从</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履约保证金中扣收，或者在支付的服务费用中直接扣除。</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清分整点过程中不得以长款补短款或私自藏匿，一经行方发现，造成行方损失的，由</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赔偿。并有权要求</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辞退相关责任人员。</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5.</w:t>
      </w:r>
      <w:r>
        <w:rPr>
          <w:rFonts w:hint="eastAsia" w:ascii="彩虹粗仿宋" w:hAnsi="宋体" w:eastAsia="彩虹粗仿宋" w:cs="Times New Roman"/>
          <w:snapToGrid w:val="0"/>
          <w:color w:val="auto"/>
          <w:kern w:val="0"/>
          <w:sz w:val="32"/>
          <w:szCs w:val="32"/>
          <w:highlight w:val="none"/>
          <w:lang w:eastAsia="zh-CN"/>
        </w:rPr>
        <w:t>人行区分行季度通报的</w:t>
      </w:r>
      <w:r>
        <w:rPr>
          <w:rFonts w:hint="eastAsia" w:ascii="彩虹粗仿宋" w:hAnsi="宋体" w:eastAsia="彩虹粗仿宋" w:cs="Times New Roman"/>
          <w:snapToGrid w:val="0"/>
          <w:color w:val="auto"/>
          <w:kern w:val="0"/>
          <w:sz w:val="32"/>
          <w:szCs w:val="32"/>
        </w:rPr>
        <w:t>交存</w:t>
      </w:r>
      <w:r>
        <w:rPr>
          <w:rFonts w:ascii="彩虹粗仿宋" w:hAnsi="宋体" w:eastAsia="彩虹粗仿宋" w:cs="Times New Roman"/>
          <w:snapToGrid w:val="0"/>
          <w:color w:val="auto"/>
          <w:kern w:val="0"/>
          <w:sz w:val="32"/>
          <w:szCs w:val="32"/>
        </w:rPr>
        <w:t>人民银行</w:t>
      </w:r>
      <w:r>
        <w:rPr>
          <w:rFonts w:hint="eastAsia" w:ascii="彩虹粗仿宋" w:hAnsi="宋体" w:eastAsia="彩虹粗仿宋" w:cs="Times New Roman"/>
          <w:snapToGrid w:val="0"/>
          <w:color w:val="auto"/>
          <w:kern w:val="0"/>
          <w:sz w:val="32"/>
          <w:szCs w:val="32"/>
        </w:rPr>
        <w:t>现金</w:t>
      </w:r>
      <w:r>
        <w:rPr>
          <w:rFonts w:ascii="彩虹粗仿宋" w:hAnsi="宋体" w:eastAsia="彩虹粗仿宋" w:cs="Times New Roman"/>
          <w:snapToGrid w:val="0"/>
          <w:color w:val="auto"/>
          <w:kern w:val="0"/>
          <w:sz w:val="32"/>
          <w:szCs w:val="32"/>
        </w:rPr>
        <w:t>中</w:t>
      </w:r>
      <w:r>
        <w:rPr>
          <w:rFonts w:hint="eastAsia" w:ascii="彩虹粗仿宋" w:hAnsi="宋体" w:eastAsia="彩虹粗仿宋" w:cs="Times New Roman"/>
          <w:snapToGrid w:val="0"/>
          <w:color w:val="auto"/>
          <w:kern w:val="0"/>
          <w:sz w:val="32"/>
          <w:szCs w:val="32"/>
          <w:lang w:eastAsia="zh-CN"/>
        </w:rPr>
        <w:t>有长短款差错的，在对短款进行赔偿基础上，不论长短款券面金额大小，每张扣罚服务费</w:t>
      </w:r>
      <w:r>
        <w:rPr>
          <w:rFonts w:hint="eastAsia" w:ascii="彩虹粗仿宋" w:hAnsi="宋体" w:eastAsia="彩虹粗仿宋" w:cs="Times New Roman"/>
          <w:snapToGrid w:val="0"/>
          <w:color w:val="auto"/>
          <w:kern w:val="0"/>
          <w:sz w:val="32"/>
          <w:szCs w:val="32"/>
          <w:lang w:val="en-US" w:eastAsia="zh-CN"/>
        </w:rPr>
        <w:t>300</w:t>
      </w:r>
      <w:r>
        <w:rPr>
          <w:rFonts w:hint="eastAsia" w:ascii="彩虹粗仿宋" w:hAnsi="宋体" w:eastAsia="彩虹粗仿宋" w:cs="Times New Roman"/>
          <w:snapToGrid w:val="0"/>
          <w:color w:val="auto"/>
          <w:kern w:val="0"/>
          <w:sz w:val="32"/>
          <w:szCs w:val="32"/>
          <w:highlight w:val="none"/>
        </w:rPr>
        <w:t>元。因</w:t>
      </w:r>
      <w:r>
        <w:rPr>
          <w:rFonts w:hint="eastAsia" w:ascii="彩虹粗仿宋" w:hAnsi="宋体" w:eastAsia="彩虹粗仿宋" w:cs="Times New Roman"/>
          <w:snapToGrid w:val="0"/>
          <w:color w:val="auto"/>
          <w:kern w:val="0"/>
          <w:sz w:val="32"/>
          <w:szCs w:val="32"/>
          <w:highlight w:val="none"/>
          <w:lang w:eastAsia="zh-CN"/>
        </w:rPr>
        <w:t>投标人</w:t>
      </w:r>
      <w:r>
        <w:rPr>
          <w:rFonts w:hint="eastAsia" w:ascii="彩虹粗仿宋" w:hAnsi="宋体" w:eastAsia="彩虹粗仿宋" w:cs="Times New Roman"/>
          <w:snapToGrid w:val="0"/>
          <w:color w:val="auto"/>
          <w:kern w:val="0"/>
          <w:sz w:val="32"/>
          <w:szCs w:val="32"/>
          <w:highlight w:val="none"/>
        </w:rPr>
        <w:t>原因导致行方向中国人民银行分支机构解缴的回笼款中</w:t>
      </w:r>
      <w:r>
        <w:rPr>
          <w:rFonts w:hint="eastAsia" w:ascii="彩虹粗仿宋" w:hAnsi="宋体" w:eastAsia="彩虹粗仿宋" w:cs="Times New Roman"/>
          <w:snapToGrid w:val="0"/>
          <w:color w:val="auto"/>
          <w:kern w:val="0"/>
          <w:sz w:val="32"/>
          <w:szCs w:val="32"/>
          <w:highlight w:val="none"/>
          <w:lang w:eastAsia="zh-CN"/>
        </w:rPr>
        <w:t>长短款差错</w:t>
      </w:r>
      <w:r>
        <w:rPr>
          <w:rFonts w:hint="eastAsia" w:ascii="彩虹粗仿宋" w:hAnsi="宋体" w:eastAsia="彩虹粗仿宋" w:cs="Times New Roman"/>
          <w:snapToGrid w:val="0"/>
          <w:color w:val="auto"/>
          <w:kern w:val="0"/>
          <w:sz w:val="32"/>
          <w:szCs w:val="32"/>
          <w:highlight w:val="none"/>
        </w:rPr>
        <w:t>受到人行处罚的，人行罚款</w:t>
      </w:r>
      <w:r>
        <w:rPr>
          <w:rFonts w:hint="eastAsia" w:ascii="彩虹粗仿宋" w:hAnsi="宋体" w:eastAsia="彩虹粗仿宋" w:cs="Times New Roman"/>
          <w:snapToGrid w:val="0"/>
          <w:color w:val="auto"/>
          <w:kern w:val="0"/>
          <w:sz w:val="32"/>
          <w:szCs w:val="32"/>
        </w:rPr>
        <w:t>由</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承担。</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6</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人行区分行季度通报的交存</w:t>
      </w:r>
      <w:r>
        <w:rPr>
          <w:rFonts w:ascii="彩虹粗仿宋" w:hAnsi="宋体" w:eastAsia="彩虹粗仿宋" w:cs="Times New Roman"/>
          <w:snapToGrid w:val="0"/>
          <w:color w:val="auto"/>
          <w:kern w:val="0"/>
          <w:sz w:val="32"/>
          <w:szCs w:val="32"/>
        </w:rPr>
        <w:t>人民银行</w:t>
      </w:r>
      <w:r>
        <w:rPr>
          <w:rFonts w:hint="eastAsia" w:ascii="彩虹粗仿宋" w:hAnsi="宋体" w:eastAsia="彩虹粗仿宋" w:cs="Times New Roman"/>
          <w:snapToGrid w:val="0"/>
          <w:color w:val="auto"/>
          <w:kern w:val="0"/>
          <w:sz w:val="32"/>
          <w:szCs w:val="32"/>
        </w:rPr>
        <w:t>现金</w:t>
      </w:r>
      <w:r>
        <w:rPr>
          <w:rFonts w:ascii="彩虹粗仿宋" w:hAnsi="宋体" w:eastAsia="彩虹粗仿宋" w:cs="Times New Roman"/>
          <w:snapToGrid w:val="0"/>
          <w:color w:val="auto"/>
          <w:kern w:val="0"/>
          <w:sz w:val="32"/>
          <w:szCs w:val="32"/>
        </w:rPr>
        <w:t>中</w:t>
      </w:r>
      <w:r>
        <w:rPr>
          <w:rFonts w:ascii="彩虹粗仿宋" w:hAnsi="宋体" w:eastAsia="彩虹粗仿宋" w:cs="Times New Roman"/>
          <w:snapToGrid w:val="0"/>
          <w:color w:val="auto"/>
          <w:kern w:val="0"/>
          <w:sz w:val="32"/>
          <w:szCs w:val="32"/>
          <w:highlight w:val="none"/>
        </w:rPr>
        <w:t>夹杂</w:t>
      </w:r>
      <w:r>
        <w:rPr>
          <w:rFonts w:hint="eastAsia" w:ascii="彩虹粗仿宋" w:hAnsi="宋体" w:eastAsia="彩虹粗仿宋" w:cs="Times New Roman"/>
          <w:snapToGrid w:val="0"/>
          <w:color w:val="auto"/>
          <w:kern w:val="0"/>
          <w:sz w:val="32"/>
          <w:szCs w:val="32"/>
          <w:highlight w:val="none"/>
        </w:rPr>
        <w:t>有</w:t>
      </w:r>
      <w:r>
        <w:rPr>
          <w:rFonts w:ascii="彩虹粗仿宋" w:hAnsi="宋体" w:eastAsia="彩虹粗仿宋" w:cs="Times New Roman"/>
          <w:snapToGrid w:val="0"/>
          <w:color w:val="auto"/>
          <w:kern w:val="0"/>
          <w:sz w:val="32"/>
          <w:szCs w:val="32"/>
          <w:highlight w:val="none"/>
        </w:rPr>
        <w:t>假币，在</w:t>
      </w:r>
      <w:r>
        <w:rPr>
          <w:rFonts w:hint="eastAsia" w:ascii="彩虹粗仿宋" w:hAnsi="宋体" w:eastAsia="彩虹粗仿宋" w:cs="Times New Roman"/>
          <w:snapToGrid w:val="0"/>
          <w:color w:val="auto"/>
          <w:kern w:val="0"/>
          <w:sz w:val="32"/>
          <w:szCs w:val="32"/>
          <w:highlight w:val="none"/>
        </w:rPr>
        <w:t>进行</w:t>
      </w:r>
      <w:r>
        <w:rPr>
          <w:rFonts w:ascii="彩虹粗仿宋" w:hAnsi="宋体" w:eastAsia="彩虹粗仿宋" w:cs="Times New Roman"/>
          <w:snapToGrid w:val="0"/>
          <w:color w:val="auto"/>
          <w:kern w:val="0"/>
          <w:sz w:val="32"/>
          <w:szCs w:val="32"/>
          <w:highlight w:val="none"/>
        </w:rPr>
        <w:t>赔偿基础上，</w:t>
      </w:r>
      <w:r>
        <w:rPr>
          <w:rFonts w:hint="eastAsia" w:ascii="彩虹粗仿宋" w:hAnsi="宋体" w:eastAsia="彩虹粗仿宋" w:cs="Times New Roman"/>
          <w:snapToGrid w:val="0"/>
          <w:color w:val="auto"/>
          <w:kern w:val="0"/>
          <w:sz w:val="32"/>
          <w:szCs w:val="32"/>
          <w:highlight w:val="none"/>
        </w:rPr>
        <w:t>不论</w:t>
      </w:r>
      <w:r>
        <w:rPr>
          <w:rFonts w:hint="eastAsia" w:ascii="彩虹粗仿宋" w:hAnsi="宋体" w:eastAsia="彩虹粗仿宋" w:cs="Times New Roman"/>
          <w:snapToGrid w:val="0"/>
          <w:color w:val="auto"/>
          <w:kern w:val="0"/>
          <w:sz w:val="32"/>
          <w:szCs w:val="32"/>
          <w:highlight w:val="none"/>
          <w:lang w:eastAsia="zh-CN"/>
        </w:rPr>
        <w:t>券面</w:t>
      </w:r>
      <w:r>
        <w:rPr>
          <w:rFonts w:ascii="彩虹粗仿宋" w:hAnsi="宋体" w:eastAsia="彩虹粗仿宋" w:cs="Times New Roman"/>
          <w:snapToGrid w:val="0"/>
          <w:color w:val="auto"/>
          <w:kern w:val="0"/>
          <w:sz w:val="32"/>
          <w:szCs w:val="32"/>
          <w:highlight w:val="none"/>
        </w:rPr>
        <w:t>金额大小，每张</w:t>
      </w:r>
      <w:r>
        <w:rPr>
          <w:rFonts w:hint="eastAsia" w:ascii="彩虹粗仿宋" w:hAnsi="宋体" w:eastAsia="彩虹粗仿宋" w:cs="Times New Roman"/>
          <w:snapToGrid w:val="0"/>
          <w:color w:val="auto"/>
          <w:kern w:val="0"/>
          <w:sz w:val="32"/>
          <w:szCs w:val="32"/>
          <w:lang w:eastAsia="zh-CN"/>
        </w:rPr>
        <w:t>扣罚服务费</w:t>
      </w:r>
      <w:r>
        <w:rPr>
          <w:rFonts w:hint="eastAsia" w:ascii="彩虹粗仿宋" w:hAnsi="宋体" w:eastAsia="彩虹粗仿宋" w:cs="Times New Roman"/>
          <w:snapToGrid w:val="0"/>
          <w:color w:val="auto"/>
          <w:kern w:val="0"/>
          <w:sz w:val="32"/>
          <w:szCs w:val="32"/>
          <w:highlight w:val="none"/>
          <w:lang w:val="en-US" w:eastAsia="zh-CN"/>
        </w:rPr>
        <w:t>20</w:t>
      </w:r>
      <w:r>
        <w:rPr>
          <w:rFonts w:hint="eastAsia" w:ascii="彩虹粗仿宋" w:hAnsi="宋体" w:eastAsia="彩虹粗仿宋" w:cs="Times New Roman"/>
          <w:snapToGrid w:val="0"/>
          <w:color w:val="auto"/>
          <w:kern w:val="0"/>
          <w:sz w:val="32"/>
          <w:szCs w:val="32"/>
          <w:highlight w:val="none"/>
        </w:rPr>
        <w:t>00元</w:t>
      </w:r>
      <w:r>
        <w:rPr>
          <w:rFonts w:ascii="彩虹粗仿宋" w:hAnsi="宋体" w:eastAsia="彩虹粗仿宋" w:cs="Times New Roman"/>
          <w:snapToGrid w:val="0"/>
          <w:color w:val="auto"/>
          <w:kern w:val="0"/>
          <w:sz w:val="32"/>
          <w:szCs w:val="32"/>
          <w:highlight w:val="none"/>
        </w:rPr>
        <w:t>。</w:t>
      </w:r>
      <w:r>
        <w:rPr>
          <w:rFonts w:hint="eastAsia" w:ascii="彩虹粗仿宋" w:hAnsi="宋体" w:eastAsia="彩虹粗仿宋" w:cs="Times New Roman"/>
          <w:snapToGrid w:val="0"/>
          <w:color w:val="auto"/>
          <w:kern w:val="0"/>
          <w:sz w:val="32"/>
          <w:szCs w:val="32"/>
          <w:highlight w:val="none"/>
        </w:rPr>
        <w:t>因</w:t>
      </w:r>
      <w:r>
        <w:rPr>
          <w:rFonts w:hint="eastAsia" w:ascii="彩虹粗仿宋" w:hAnsi="宋体" w:eastAsia="彩虹粗仿宋" w:cs="Times New Roman"/>
          <w:snapToGrid w:val="0"/>
          <w:color w:val="auto"/>
          <w:kern w:val="0"/>
          <w:sz w:val="32"/>
          <w:szCs w:val="32"/>
          <w:highlight w:val="none"/>
          <w:lang w:eastAsia="zh-CN"/>
        </w:rPr>
        <w:t>投标人</w:t>
      </w:r>
      <w:r>
        <w:rPr>
          <w:rFonts w:hint="eastAsia" w:ascii="彩虹粗仿宋" w:hAnsi="宋体" w:eastAsia="彩虹粗仿宋" w:cs="Times New Roman"/>
          <w:snapToGrid w:val="0"/>
          <w:color w:val="auto"/>
          <w:kern w:val="0"/>
          <w:sz w:val="32"/>
          <w:szCs w:val="32"/>
          <w:highlight w:val="none"/>
        </w:rPr>
        <w:t>原因导致行方向中国人民银行分支机构解缴的回笼款中夹杂假币受到人行处罚的，人行罚款</w:t>
      </w:r>
      <w:r>
        <w:rPr>
          <w:rFonts w:hint="eastAsia" w:ascii="彩虹粗仿宋" w:hAnsi="宋体" w:eastAsia="彩虹粗仿宋" w:cs="Times New Roman"/>
          <w:snapToGrid w:val="0"/>
          <w:color w:val="auto"/>
          <w:kern w:val="0"/>
          <w:sz w:val="32"/>
          <w:szCs w:val="32"/>
        </w:rPr>
        <w:t>由</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承担。</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7.人行区分行年度通报的交存人民银行现金中夹残率、夹好率低于建行年度通报系统内平均水平的，</w:t>
      </w:r>
      <w:r>
        <w:rPr>
          <w:rFonts w:hint="eastAsia" w:ascii="彩虹粗仿宋" w:hAnsi="宋体" w:eastAsia="彩虹粗仿宋" w:cs="Times New Roman"/>
          <w:snapToGrid w:val="0"/>
          <w:color w:val="auto"/>
          <w:kern w:val="0"/>
          <w:sz w:val="32"/>
          <w:szCs w:val="32"/>
          <w:highlight w:val="none"/>
          <w:lang w:eastAsia="zh-CN"/>
        </w:rPr>
        <w:t>以地市为单位进行统计处罚，</w:t>
      </w:r>
      <w:r>
        <w:rPr>
          <w:rFonts w:ascii="彩虹粗仿宋" w:hAnsi="宋体" w:eastAsia="彩虹粗仿宋" w:cs="Times New Roman"/>
          <w:snapToGrid w:val="0"/>
          <w:color w:val="auto"/>
          <w:kern w:val="0"/>
          <w:sz w:val="32"/>
          <w:szCs w:val="32"/>
          <w:highlight w:val="none"/>
        </w:rPr>
        <w:t>按</w:t>
      </w:r>
      <w:r>
        <w:rPr>
          <w:rFonts w:hint="eastAsia" w:ascii="彩虹粗仿宋" w:hAnsi="宋体" w:eastAsia="彩虹粗仿宋" w:cs="Times New Roman"/>
          <w:snapToGrid w:val="0"/>
          <w:color w:val="auto"/>
          <w:kern w:val="0"/>
          <w:sz w:val="32"/>
          <w:szCs w:val="32"/>
          <w:highlight w:val="none"/>
          <w:lang w:eastAsia="zh-CN"/>
        </w:rPr>
        <w:t>人行</w:t>
      </w:r>
      <w:r>
        <w:rPr>
          <w:rFonts w:hint="eastAsia" w:ascii="彩虹粗仿宋" w:hAnsi="宋体" w:eastAsia="彩虹粗仿宋" w:cs="Times New Roman"/>
          <w:snapToGrid w:val="0"/>
          <w:color w:val="auto"/>
          <w:kern w:val="0"/>
          <w:sz w:val="32"/>
          <w:szCs w:val="32"/>
          <w:highlight w:val="none"/>
        </w:rPr>
        <w:t>通报</w:t>
      </w:r>
      <w:r>
        <w:rPr>
          <w:rFonts w:hint="eastAsia" w:ascii="彩虹粗仿宋" w:hAnsi="宋体" w:eastAsia="彩虹粗仿宋" w:cs="Times New Roman"/>
          <w:snapToGrid w:val="0"/>
          <w:color w:val="auto"/>
          <w:kern w:val="0"/>
          <w:sz w:val="32"/>
          <w:szCs w:val="32"/>
          <w:highlight w:val="none"/>
          <w:lang w:eastAsia="zh-CN"/>
        </w:rPr>
        <w:t>全年夹残率、夹好率低于当地其他三家国有商业银行排名情况，</w:t>
      </w:r>
      <w:r>
        <w:rPr>
          <w:rFonts w:hint="eastAsia" w:ascii="彩虹粗仿宋" w:hAnsi="宋体" w:eastAsia="彩虹粗仿宋" w:cs="Times New Roman"/>
          <w:snapToGrid w:val="0"/>
          <w:color w:val="auto"/>
          <w:kern w:val="0"/>
          <w:sz w:val="32"/>
          <w:szCs w:val="32"/>
          <w:highlight w:val="none"/>
        </w:rPr>
        <w:t>每</w:t>
      </w:r>
      <w:r>
        <w:rPr>
          <w:rFonts w:ascii="彩虹粗仿宋" w:hAnsi="宋体" w:eastAsia="彩虹粗仿宋" w:cs="Times New Roman"/>
          <w:snapToGrid w:val="0"/>
          <w:color w:val="auto"/>
          <w:kern w:val="0"/>
          <w:sz w:val="32"/>
          <w:szCs w:val="32"/>
          <w:highlight w:val="none"/>
        </w:rPr>
        <w:t>落后一个名次</w:t>
      </w:r>
      <w:r>
        <w:rPr>
          <w:rFonts w:hint="eastAsia" w:ascii="彩虹粗仿宋" w:hAnsi="宋体" w:eastAsia="彩虹粗仿宋" w:cs="Times New Roman"/>
          <w:snapToGrid w:val="0"/>
          <w:color w:val="auto"/>
          <w:kern w:val="0"/>
          <w:sz w:val="32"/>
          <w:szCs w:val="32"/>
          <w:lang w:eastAsia="zh-CN"/>
        </w:rPr>
        <w:t>扣罚服务费</w:t>
      </w:r>
      <w:r>
        <w:rPr>
          <w:rFonts w:hint="eastAsia" w:ascii="彩虹粗仿宋" w:hAnsi="宋体" w:eastAsia="彩虹粗仿宋" w:cs="Times New Roman"/>
          <w:snapToGrid w:val="0"/>
          <w:color w:val="auto"/>
          <w:kern w:val="0"/>
          <w:sz w:val="32"/>
          <w:szCs w:val="32"/>
          <w:highlight w:val="none"/>
          <w:lang w:val="en-US" w:eastAsia="zh-CN"/>
        </w:rPr>
        <w:t>5</w:t>
      </w:r>
      <w:r>
        <w:rPr>
          <w:rFonts w:hint="eastAsia" w:ascii="彩虹粗仿宋" w:hAnsi="宋体" w:eastAsia="彩虹粗仿宋" w:cs="Times New Roman"/>
          <w:snapToGrid w:val="0"/>
          <w:color w:val="auto"/>
          <w:kern w:val="0"/>
          <w:sz w:val="32"/>
          <w:szCs w:val="32"/>
          <w:highlight w:val="none"/>
        </w:rPr>
        <w:t>00元</w:t>
      </w:r>
      <w:r>
        <w:rPr>
          <w:rFonts w:hint="eastAsia" w:ascii="彩虹粗仿宋" w:hAnsi="宋体" w:eastAsia="彩虹粗仿宋" w:cs="Times New Roman"/>
          <w:snapToGrid w:val="0"/>
          <w:color w:val="auto"/>
          <w:kern w:val="0"/>
          <w:sz w:val="32"/>
          <w:szCs w:val="32"/>
          <w:highlight w:val="none"/>
          <w:lang w:eastAsia="zh-CN"/>
        </w:rPr>
        <w:t>。</w:t>
      </w:r>
      <w:r>
        <w:rPr>
          <w:rFonts w:hint="eastAsia" w:ascii="彩虹粗仿宋" w:hAnsi="宋体" w:eastAsia="彩虹粗仿宋" w:cs="Times New Roman"/>
          <w:snapToGrid w:val="0"/>
          <w:color w:val="auto"/>
          <w:kern w:val="0"/>
          <w:sz w:val="32"/>
          <w:szCs w:val="32"/>
          <w:highlight w:val="none"/>
        </w:rPr>
        <w:t>因</w:t>
      </w:r>
      <w:r>
        <w:rPr>
          <w:rFonts w:hint="eastAsia" w:ascii="彩虹粗仿宋" w:hAnsi="宋体" w:eastAsia="彩虹粗仿宋" w:cs="Times New Roman"/>
          <w:snapToGrid w:val="0"/>
          <w:color w:val="auto"/>
          <w:kern w:val="0"/>
          <w:sz w:val="32"/>
          <w:szCs w:val="32"/>
          <w:highlight w:val="none"/>
          <w:lang w:eastAsia="zh-CN"/>
        </w:rPr>
        <w:t>投标人</w:t>
      </w:r>
      <w:r>
        <w:rPr>
          <w:rFonts w:hint="eastAsia" w:ascii="彩虹粗仿宋" w:hAnsi="宋体" w:eastAsia="彩虹粗仿宋" w:cs="Times New Roman"/>
          <w:snapToGrid w:val="0"/>
          <w:color w:val="auto"/>
          <w:kern w:val="0"/>
          <w:sz w:val="32"/>
          <w:szCs w:val="32"/>
          <w:highlight w:val="none"/>
        </w:rPr>
        <w:t>原因导致行方向中国人民银行分支机构解缴的回笼款中</w:t>
      </w:r>
      <w:r>
        <w:rPr>
          <w:rFonts w:hint="eastAsia" w:ascii="彩虹粗仿宋" w:hAnsi="宋体" w:eastAsia="彩虹粗仿宋" w:cs="Times New Roman"/>
          <w:snapToGrid w:val="0"/>
          <w:color w:val="auto"/>
          <w:kern w:val="0"/>
          <w:sz w:val="32"/>
          <w:szCs w:val="32"/>
          <w:highlight w:val="none"/>
          <w:lang w:eastAsia="zh-CN"/>
        </w:rPr>
        <w:t>夹残率、夹好率</w:t>
      </w:r>
      <w:r>
        <w:rPr>
          <w:rFonts w:hint="eastAsia" w:ascii="彩虹粗仿宋" w:hAnsi="宋体" w:eastAsia="彩虹粗仿宋" w:cs="Times New Roman"/>
          <w:snapToGrid w:val="0"/>
          <w:color w:val="auto"/>
          <w:kern w:val="0"/>
          <w:sz w:val="32"/>
          <w:szCs w:val="32"/>
          <w:highlight w:val="none"/>
        </w:rPr>
        <w:t>受到人行处罚的，人行罚款</w:t>
      </w:r>
      <w:r>
        <w:rPr>
          <w:rFonts w:hint="eastAsia" w:ascii="彩虹粗仿宋" w:hAnsi="宋体" w:eastAsia="彩虹粗仿宋" w:cs="Times New Roman"/>
          <w:snapToGrid w:val="0"/>
          <w:color w:val="auto"/>
          <w:kern w:val="0"/>
          <w:sz w:val="32"/>
          <w:szCs w:val="32"/>
        </w:rPr>
        <w:t>由</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承担。</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8.</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须向行方缴纳人民币</w:t>
      </w:r>
      <w:r>
        <w:rPr>
          <w:rFonts w:hint="eastAsia" w:ascii="彩虹粗仿宋" w:hAnsi="宋体" w:eastAsia="彩虹粗仿宋" w:cs="Times New Roman"/>
          <w:snapToGrid w:val="0"/>
          <w:color w:val="auto"/>
          <w:kern w:val="0"/>
          <w:sz w:val="32"/>
          <w:szCs w:val="32"/>
          <w:highlight w:val="none"/>
          <w:lang w:val="en-US" w:eastAsia="zh-CN"/>
        </w:rPr>
        <w:t>10万</w:t>
      </w:r>
      <w:r>
        <w:rPr>
          <w:rFonts w:hint="eastAsia" w:ascii="彩虹粗仿宋" w:hAnsi="宋体" w:eastAsia="彩虹粗仿宋" w:cs="Times New Roman"/>
          <w:snapToGrid w:val="0"/>
          <w:color w:val="auto"/>
          <w:kern w:val="0"/>
          <w:sz w:val="32"/>
          <w:szCs w:val="32"/>
          <w:highlight w:val="none"/>
        </w:rPr>
        <w:t>元履约保证金</w:t>
      </w:r>
      <w:r>
        <w:rPr>
          <w:rFonts w:hint="eastAsia" w:ascii="彩虹粗仿宋" w:hAnsi="宋体" w:eastAsia="彩虹粗仿宋" w:cs="Times New Roman"/>
          <w:snapToGrid w:val="0"/>
          <w:color w:val="auto"/>
          <w:kern w:val="0"/>
          <w:sz w:val="32"/>
          <w:szCs w:val="32"/>
        </w:rPr>
        <w:t>，用于</w:t>
      </w:r>
      <w:r>
        <w:rPr>
          <w:rFonts w:hint="eastAsia" w:ascii="彩虹粗仿宋" w:hAnsi="宋体" w:eastAsia="彩虹粗仿宋" w:cs="Times New Roman"/>
          <w:snapToGrid w:val="0"/>
          <w:color w:val="auto"/>
          <w:kern w:val="0"/>
          <w:sz w:val="32"/>
          <w:szCs w:val="32"/>
          <w:lang w:eastAsia="zh-CN"/>
        </w:rPr>
        <w:t>投标人原</w:t>
      </w:r>
      <w:r>
        <w:rPr>
          <w:rFonts w:hint="eastAsia" w:ascii="彩虹粗仿宋" w:hAnsi="宋体" w:eastAsia="彩虹粗仿宋" w:cs="Times New Roman"/>
          <w:snapToGrid w:val="0"/>
          <w:color w:val="auto"/>
          <w:kern w:val="0"/>
          <w:sz w:val="32"/>
          <w:szCs w:val="32"/>
        </w:rPr>
        <w:t>因违约、违规</w:t>
      </w:r>
      <w:r>
        <w:rPr>
          <w:rFonts w:hint="eastAsia" w:ascii="彩虹粗仿宋" w:hAnsi="宋体" w:eastAsia="彩虹粗仿宋" w:cs="Times New Roman"/>
          <w:snapToGrid w:val="0"/>
          <w:color w:val="auto"/>
          <w:kern w:val="0"/>
          <w:sz w:val="32"/>
          <w:szCs w:val="32"/>
          <w:lang w:eastAsia="zh-CN"/>
        </w:rPr>
        <w:t>、差错</w:t>
      </w:r>
      <w:r>
        <w:rPr>
          <w:rFonts w:hint="eastAsia" w:ascii="彩虹粗仿宋" w:hAnsi="宋体" w:eastAsia="彩虹粗仿宋" w:cs="Times New Roman"/>
          <w:snapToGrid w:val="0"/>
          <w:color w:val="auto"/>
          <w:kern w:val="0"/>
          <w:sz w:val="32"/>
          <w:szCs w:val="32"/>
        </w:rPr>
        <w:t>造成行方损失的赔付款,履约保证金不足</w:t>
      </w:r>
      <w:r>
        <w:rPr>
          <w:rFonts w:hint="eastAsia" w:ascii="彩虹粗仿宋" w:hAnsi="宋体" w:eastAsia="彩虹粗仿宋" w:cs="Times New Roman"/>
          <w:snapToGrid w:val="0"/>
          <w:color w:val="auto"/>
          <w:kern w:val="0"/>
          <w:sz w:val="32"/>
          <w:szCs w:val="32"/>
          <w:lang w:val="en-US" w:eastAsia="zh-CN"/>
        </w:rPr>
        <w:t>1</w:t>
      </w:r>
      <w:r>
        <w:rPr>
          <w:rFonts w:hint="eastAsia" w:ascii="彩虹粗仿宋" w:hAnsi="宋体" w:eastAsia="彩虹粗仿宋" w:cs="Times New Roman"/>
          <w:snapToGrid w:val="0"/>
          <w:color w:val="auto"/>
          <w:kern w:val="0"/>
          <w:sz w:val="32"/>
          <w:szCs w:val="32"/>
        </w:rPr>
        <w:t>0万元时，</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应于2个工作日内补足。履约保证金存入其在行方开立的保证金专户内。</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9.</w:t>
      </w:r>
      <w:r>
        <w:rPr>
          <w:rFonts w:hint="eastAsia" w:ascii="彩虹粗仿宋" w:hAnsi="宋体" w:eastAsia="彩虹粗仿宋" w:cs="Times New Roman"/>
          <w:snapToGrid w:val="0"/>
          <w:color w:val="auto"/>
          <w:kern w:val="0"/>
          <w:sz w:val="32"/>
          <w:szCs w:val="32"/>
        </w:rPr>
        <w:t>因</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原因导致我行受到人民银行通报批评或受到客户投诉引起不良社会影响，视情节严重程度扣罚5%-100%的履约保证金，并保留解除合同的权利。</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10.</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须按照行方的要求，每年向保险公司购买总保额不低于</w:t>
      </w: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rPr>
        <w:t>000万元的“银行现金整点责任险”，用于</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原因发生重大事故、案件而向行方的赔付保障。保险第一受益人为中国建设银行股份有限公司广西壮族自治区分行，</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应在本合同签订后一个月内将保险单复印件提供行方。</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11.</w:t>
      </w:r>
      <w:r>
        <w:rPr>
          <w:rFonts w:hint="eastAsia" w:ascii="彩虹粗仿宋" w:hAnsi="宋体" w:eastAsia="彩虹粗仿宋" w:cs="Times New Roman"/>
          <w:snapToGrid w:val="0"/>
          <w:color w:val="auto"/>
          <w:kern w:val="0"/>
          <w:sz w:val="32"/>
          <w:szCs w:val="32"/>
        </w:rPr>
        <w:t>本合同终止之日起，投标人可提交书面退款申请，申请返还履约保证金总额的50%；我行收到投标人合规完整的退款申请材料后45日内，将该50%保证金无息退还至投标人指定账户。</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履约保证金剩余50%款项自合同终止当日起留存保管3年，留存期内我行有权核查投标人全部业务承包期间的操作差错、违规损失、违约扣款等相关事项。</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rPr>
        <w:t>留存3年期限届满，经我行核查确认无任何需向投标人追偿、扣款事项的，投标人可另行提交书面退款申请，我行于收到申请后45日内无息退还剩余全部保证金；若留存期内核查发现存在应由投标人承担的扣款、赔偿款项，我行有权直接从剩余保证金中抵扣对应金额，抵扣后如有结余，无息退还投标人，不足部分我行有权另行向投标人追偿</w:t>
      </w:r>
      <w:r>
        <w:rPr>
          <w:rFonts w:hint="eastAsia" w:ascii="彩虹粗仿宋" w:hAnsi="宋体" w:eastAsia="彩虹粗仿宋" w:cs="Times New Roman"/>
          <w:snapToGrid w:val="0"/>
          <w:color w:val="auto"/>
          <w:kern w:val="0"/>
          <w:sz w:val="32"/>
          <w:szCs w:val="32"/>
          <w:highlight w:val="none"/>
        </w:rPr>
        <w:t>。</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highlight w:val="none"/>
        </w:rPr>
      </w:pPr>
      <w:r>
        <w:rPr>
          <w:rFonts w:hint="eastAsia" w:ascii="彩虹粗仿宋" w:hAnsi="宋体" w:eastAsia="彩虹粗仿宋" w:cs="Times New Roman"/>
          <w:snapToGrid w:val="0"/>
          <w:color w:val="auto"/>
          <w:kern w:val="0"/>
          <w:sz w:val="32"/>
          <w:szCs w:val="32"/>
          <w:highlight w:val="none"/>
          <w:lang w:val="en-US" w:eastAsia="zh-CN"/>
        </w:rPr>
        <w:t>12.</w:t>
      </w:r>
      <w:r>
        <w:rPr>
          <w:rFonts w:hint="eastAsia" w:ascii="彩虹粗仿宋" w:hAnsi="宋体" w:eastAsia="彩虹粗仿宋" w:cs="Times New Roman"/>
          <w:snapToGrid w:val="0"/>
          <w:color w:val="auto"/>
          <w:kern w:val="0"/>
          <w:sz w:val="32"/>
          <w:szCs w:val="32"/>
          <w:highlight w:val="none"/>
        </w:rPr>
        <w:t>如</w:t>
      </w:r>
      <w:r>
        <w:rPr>
          <w:rFonts w:hint="eastAsia" w:ascii="彩虹粗仿宋" w:hAnsi="宋体" w:eastAsia="彩虹粗仿宋" w:cs="Times New Roman"/>
          <w:snapToGrid w:val="0"/>
          <w:color w:val="auto"/>
          <w:kern w:val="0"/>
          <w:sz w:val="32"/>
          <w:szCs w:val="32"/>
          <w:highlight w:val="none"/>
          <w:lang w:eastAsia="zh-CN"/>
        </w:rPr>
        <w:t>投标人</w:t>
      </w:r>
      <w:r>
        <w:rPr>
          <w:rFonts w:hint="eastAsia" w:ascii="彩虹粗仿宋" w:hAnsi="宋体" w:eastAsia="彩虹粗仿宋" w:cs="Times New Roman"/>
          <w:snapToGrid w:val="0"/>
          <w:color w:val="auto"/>
          <w:kern w:val="0"/>
          <w:sz w:val="32"/>
          <w:szCs w:val="32"/>
          <w:highlight w:val="none"/>
        </w:rPr>
        <w:t>退出服务后，后续检查发现在其作业期内的差错或违约事项，</w:t>
      </w:r>
      <w:r>
        <w:rPr>
          <w:rFonts w:hint="eastAsia" w:ascii="彩虹粗仿宋" w:hAnsi="宋体" w:eastAsia="彩虹粗仿宋" w:cs="Times New Roman"/>
          <w:snapToGrid w:val="0"/>
          <w:color w:val="auto"/>
          <w:kern w:val="0"/>
          <w:sz w:val="32"/>
          <w:szCs w:val="32"/>
          <w:highlight w:val="none"/>
          <w:lang w:eastAsia="zh-CN"/>
        </w:rPr>
        <w:t>行</w:t>
      </w:r>
      <w:r>
        <w:rPr>
          <w:rFonts w:hint="eastAsia" w:ascii="彩虹粗仿宋" w:hAnsi="宋体" w:eastAsia="彩虹粗仿宋" w:cs="Times New Roman"/>
          <w:snapToGrid w:val="0"/>
          <w:color w:val="auto"/>
          <w:kern w:val="0"/>
          <w:sz w:val="32"/>
          <w:szCs w:val="32"/>
          <w:highlight w:val="none"/>
        </w:rPr>
        <w:t>方保留责任追索权。</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highlight w:val="none"/>
          <w:lang w:val="en-US" w:eastAsia="zh-CN"/>
        </w:rPr>
        <w:t>13.</w:t>
      </w:r>
      <w:r>
        <w:rPr>
          <w:rFonts w:hint="eastAsia" w:ascii="彩虹粗仿宋" w:hAnsi="宋体" w:eastAsia="彩虹粗仿宋" w:cs="Times New Roman"/>
          <w:snapToGrid w:val="0"/>
          <w:color w:val="auto"/>
          <w:kern w:val="0"/>
          <w:sz w:val="32"/>
          <w:szCs w:val="32"/>
          <w:highlight w:val="none"/>
          <w:lang w:eastAsia="zh-CN"/>
        </w:rPr>
        <w:t>人行区分行季度通报的</w:t>
      </w:r>
      <w:r>
        <w:rPr>
          <w:rFonts w:hint="eastAsia" w:ascii="彩虹粗仿宋" w:hAnsi="宋体" w:eastAsia="彩虹粗仿宋" w:cs="Times New Roman"/>
          <w:snapToGrid w:val="0"/>
          <w:color w:val="auto"/>
          <w:kern w:val="0"/>
          <w:sz w:val="32"/>
          <w:szCs w:val="32"/>
          <w:highlight w:val="none"/>
        </w:rPr>
        <w:t>假币</w:t>
      </w:r>
      <w:r>
        <w:rPr>
          <w:rFonts w:ascii="彩虹粗仿宋" w:hAnsi="宋体" w:eastAsia="彩虹粗仿宋" w:cs="Times New Roman"/>
          <w:snapToGrid w:val="0"/>
          <w:color w:val="auto"/>
          <w:kern w:val="0"/>
          <w:sz w:val="32"/>
          <w:szCs w:val="32"/>
          <w:highlight w:val="none"/>
        </w:rPr>
        <w:t>浓度</w:t>
      </w:r>
      <w:r>
        <w:rPr>
          <w:rFonts w:hint="eastAsia" w:ascii="彩虹粗仿宋" w:hAnsi="宋体" w:eastAsia="彩虹粗仿宋" w:cs="Times New Roman"/>
          <w:snapToGrid w:val="0"/>
          <w:color w:val="auto"/>
          <w:kern w:val="0"/>
          <w:sz w:val="32"/>
          <w:szCs w:val="32"/>
          <w:highlight w:val="none"/>
          <w:lang w:eastAsia="zh-CN"/>
        </w:rPr>
        <w:t>按地市对投标人</w:t>
      </w:r>
      <w:r>
        <w:rPr>
          <w:rFonts w:hint="eastAsia" w:ascii="彩虹粗仿宋" w:hAnsi="宋体" w:eastAsia="彩虹粗仿宋" w:cs="Times New Roman"/>
          <w:snapToGrid w:val="0"/>
          <w:color w:val="auto"/>
          <w:kern w:val="0"/>
          <w:sz w:val="32"/>
          <w:szCs w:val="32"/>
          <w:highlight w:val="none"/>
          <w:lang w:val="en-US" w:eastAsia="zh-CN"/>
        </w:rPr>
        <w:t>进行奖励，每个假币浓度为0的地市，按直接增加该季度业务结算量5%（封顶1000元）结算</w:t>
      </w:r>
      <w:r>
        <w:rPr>
          <w:rFonts w:hint="eastAsia" w:ascii="彩虹粗仿宋" w:hAnsi="宋体" w:eastAsia="彩虹粗仿宋" w:cs="Times New Roman"/>
          <w:snapToGrid w:val="0"/>
          <w:color w:val="auto"/>
          <w:kern w:val="0"/>
          <w:sz w:val="32"/>
          <w:szCs w:val="32"/>
          <w:lang w:val="en-US" w:eastAsia="zh-CN"/>
        </w:rPr>
        <w:t>。</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14.</w:t>
      </w:r>
      <w:r>
        <w:rPr>
          <w:rFonts w:hint="eastAsia" w:ascii="彩虹粗仿宋" w:hAnsi="宋体" w:eastAsia="彩虹粗仿宋" w:cs="Times New Roman"/>
          <w:snapToGrid w:val="0"/>
          <w:color w:val="auto"/>
          <w:kern w:val="0"/>
          <w:sz w:val="32"/>
          <w:szCs w:val="32"/>
          <w:highlight w:val="none"/>
          <w:lang w:eastAsia="zh-CN"/>
        </w:rPr>
        <w:t>人行区分行季度通报的长短款差错按地市对投标人</w:t>
      </w:r>
      <w:r>
        <w:rPr>
          <w:rFonts w:hint="eastAsia" w:ascii="彩虹粗仿宋" w:hAnsi="宋体" w:eastAsia="彩虹粗仿宋" w:cs="Times New Roman"/>
          <w:snapToGrid w:val="0"/>
          <w:color w:val="auto"/>
          <w:kern w:val="0"/>
          <w:sz w:val="32"/>
          <w:szCs w:val="32"/>
          <w:highlight w:val="none"/>
          <w:lang w:val="en-US" w:eastAsia="zh-CN"/>
        </w:rPr>
        <w:t>进行奖励，每个长短款差错为0的地市，按直接增加该季度业务结算量5%（封顶500元）结算</w:t>
      </w:r>
      <w:r>
        <w:rPr>
          <w:rFonts w:hint="eastAsia" w:ascii="彩虹粗仿宋" w:hAnsi="宋体" w:eastAsia="彩虹粗仿宋" w:cs="Times New Roman"/>
          <w:snapToGrid w:val="0"/>
          <w:color w:val="auto"/>
          <w:kern w:val="0"/>
          <w:sz w:val="32"/>
          <w:szCs w:val="32"/>
          <w:lang w:val="en-US" w:eastAsia="zh-CN"/>
        </w:rPr>
        <w:t>。</w:t>
      </w:r>
    </w:p>
    <w:p>
      <w:pPr>
        <w:keepNext w:val="0"/>
        <w:keepLines w:val="0"/>
        <w:pageBreakBefore w:val="0"/>
        <w:kinsoku/>
        <w:wordWrap/>
        <w:overflowPunct/>
        <w:topLinePunct w:val="0"/>
        <w:autoSpaceDE/>
        <w:autoSpaceDN/>
        <w:bidi w:val="0"/>
        <w:spacing w:line="587" w:lineRule="exact"/>
        <w:ind w:firstLine="640" w:firstLineChars="200"/>
        <w:jc w:val="both"/>
        <w:rPr>
          <w:rFonts w:hint="default" w:ascii="彩虹粗仿宋" w:hAnsi="宋体" w:eastAsia="彩虹粗仿宋" w:cs="Times New Roman"/>
          <w:snapToGrid w:val="0"/>
          <w:color w:val="auto"/>
          <w:kern w:val="0"/>
          <w:sz w:val="32"/>
          <w:szCs w:val="32"/>
          <w:lang w:val="en-US" w:eastAsia="zh-CN"/>
        </w:rPr>
      </w:pPr>
      <w:r>
        <w:rPr>
          <w:rFonts w:hint="eastAsia" w:ascii="彩虹粗仿宋" w:hAnsi="宋体" w:eastAsia="彩虹粗仿宋" w:cs="Times New Roman"/>
          <w:snapToGrid w:val="0"/>
          <w:color w:val="auto"/>
          <w:kern w:val="0"/>
          <w:sz w:val="32"/>
          <w:szCs w:val="32"/>
          <w:lang w:val="en-US" w:eastAsia="zh-CN"/>
        </w:rPr>
        <w:t>15.</w:t>
      </w:r>
      <w:r>
        <w:rPr>
          <w:rFonts w:hint="eastAsia" w:ascii="彩虹粗仿宋" w:hAnsi="宋体" w:eastAsia="彩虹粗仿宋" w:cs="Times New Roman"/>
          <w:snapToGrid w:val="0"/>
          <w:color w:val="auto"/>
          <w:kern w:val="0"/>
          <w:sz w:val="32"/>
          <w:szCs w:val="32"/>
          <w:highlight w:val="none"/>
          <w:lang w:eastAsia="zh-CN"/>
        </w:rPr>
        <w:t>人行区分行年度通报的夹残率、夹好率按地市对投标人进行奖励，夹残率、夹好率均在建行年度通报系统内排名前</w:t>
      </w:r>
      <w:r>
        <w:rPr>
          <w:rFonts w:hint="eastAsia" w:ascii="彩虹粗仿宋" w:hAnsi="宋体" w:eastAsia="彩虹粗仿宋" w:cs="Times New Roman"/>
          <w:snapToGrid w:val="0"/>
          <w:color w:val="auto"/>
          <w:kern w:val="0"/>
          <w:sz w:val="32"/>
          <w:szCs w:val="32"/>
          <w:highlight w:val="none"/>
          <w:lang w:val="en-US" w:eastAsia="zh-CN"/>
        </w:rPr>
        <w:t>10的</w:t>
      </w:r>
      <w:r>
        <w:rPr>
          <w:rFonts w:hint="eastAsia" w:ascii="彩虹粗仿宋" w:hAnsi="宋体" w:eastAsia="彩虹粗仿宋" w:cs="Times New Roman"/>
          <w:snapToGrid w:val="0"/>
          <w:color w:val="auto"/>
          <w:kern w:val="0"/>
          <w:sz w:val="32"/>
          <w:szCs w:val="32"/>
          <w:highlight w:val="none"/>
          <w:lang w:eastAsia="zh-CN"/>
        </w:rPr>
        <w:t>，按</w:t>
      </w:r>
      <w:r>
        <w:rPr>
          <w:rFonts w:hint="eastAsia" w:ascii="彩虹粗仿宋" w:hAnsi="宋体" w:eastAsia="彩虹粗仿宋" w:cs="Times New Roman"/>
          <w:snapToGrid w:val="0"/>
          <w:color w:val="auto"/>
          <w:kern w:val="0"/>
          <w:sz w:val="32"/>
          <w:szCs w:val="32"/>
          <w:highlight w:val="none"/>
          <w:lang w:val="en-US" w:eastAsia="zh-CN"/>
        </w:rPr>
        <w:t>夹残率、夹好率在当地四大国有商业银行排名第一则直接增加该季度业务结算量5%（封顶1000元）结算，夹残率、夹好率在当地四大国有商业银行排名第二，则直接增加该季度业务结算量2%（封顶500元）结算；排名第三、四则不奖励。</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（五）保密</w:t>
      </w:r>
      <w:r>
        <w:rPr>
          <w:rFonts w:ascii="彩虹粗仿宋" w:hAnsi="宋体" w:eastAsia="彩虹粗仿宋" w:cs="Times New Roman"/>
          <w:snapToGrid w:val="0"/>
          <w:color w:val="auto"/>
          <w:kern w:val="0"/>
          <w:sz w:val="32"/>
          <w:szCs w:val="32"/>
        </w:rPr>
        <w:t>条款</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在本合同约定的保密期限内，未经披露方书面同意，接受方不得将保密信息用于本合同以外的目的，并不得将其泄漏给任何第三方。接受方的雇员为履行本合同约定而必须接触相关保密信息时，接受方可以将此部分保密信息披露给该雇员，但接受方应当告知该雇员相关的保密义务并和其签署书面保密协议，使其承担不低于本保密条款约定的保密义务。</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w:t>
      </w:r>
      <w:r>
        <w:rPr>
          <w:rFonts w:ascii="彩虹粗仿宋" w:hAnsi="宋体" w:eastAsia="彩虹粗仿宋" w:cs="Times New Roman"/>
          <w:snapToGrid w:val="0"/>
          <w:color w:val="auto"/>
          <w:kern w:val="0"/>
          <w:sz w:val="32"/>
          <w:szCs w:val="32"/>
        </w:rPr>
        <w:t>.</w:t>
      </w:r>
      <w:r>
        <w:rPr>
          <w:rFonts w:hint="eastAsia" w:ascii="彩虹粗仿宋" w:hAnsi="宋体" w:eastAsia="彩虹粗仿宋" w:cs="Times New Roman"/>
          <w:snapToGrid w:val="0"/>
          <w:color w:val="auto"/>
          <w:kern w:val="0"/>
          <w:sz w:val="32"/>
          <w:szCs w:val="32"/>
        </w:rPr>
        <w:t>司法、执法、监管机构（简称“有权机关”）或法律法规要求接受方披露保密信息的，接受方应在披露前或披露时尽最大努力为被要求披露的保密信息获取保密措施或保密待遇，并将披露范围严格限定在有权机关或法律法规所要求必须披露的范围之内。在法律许可的范围内，接受方应将此事立即书面通知披露方，使披露方有合理机会采取适当的申诉或保护措施。</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3.</w:t>
      </w:r>
      <w:r>
        <w:rPr>
          <w:rFonts w:hint="eastAsia" w:ascii="彩虹粗仿宋" w:hAnsi="宋体" w:eastAsia="彩虹粗仿宋" w:cs="Times New Roman"/>
          <w:snapToGrid w:val="0"/>
          <w:color w:val="auto"/>
          <w:kern w:val="0"/>
          <w:sz w:val="32"/>
          <w:szCs w:val="32"/>
        </w:rPr>
        <w:t>接受方或其雇员（无论该雇员是否已从接受方离职）在本条约定的保密期限内违反保密义务的，接受方应当对披露方因此所遭受的损失承担赔偿责任。如果接受方在本合同有效期内严重违反保密义务，披露方同时还有权提前终止本合同。</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4.</w:t>
      </w:r>
      <w:r>
        <w:rPr>
          <w:rFonts w:hint="eastAsia" w:ascii="彩虹粗仿宋" w:hAnsi="宋体" w:eastAsia="彩虹粗仿宋" w:cs="Times New Roman"/>
          <w:snapToGrid w:val="0"/>
          <w:color w:val="auto"/>
          <w:kern w:val="0"/>
          <w:sz w:val="32"/>
          <w:szCs w:val="32"/>
        </w:rPr>
        <w:t>保密条款内容长期有效，不因本合同终止而终止。</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5.</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应对员工开展保密培训，并与员工签订保密协议，保密协议应至少包含本合同保密条款全部内容。</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黑体" w:hAnsi="彩虹黑体" w:eastAsia="彩虹黑体" w:cs="彩虹黑体"/>
          <w:b w:val="0"/>
          <w:bCs w:val="0"/>
          <w:snapToGrid w:val="0"/>
          <w:color w:val="auto"/>
          <w:kern w:val="0"/>
          <w:sz w:val="32"/>
          <w:szCs w:val="32"/>
        </w:rPr>
      </w:pPr>
      <w:r>
        <w:rPr>
          <w:rFonts w:hint="eastAsia" w:ascii="彩虹黑体" w:hAnsi="彩虹黑体" w:eastAsia="彩虹黑体" w:cs="彩虹黑体"/>
          <w:b w:val="0"/>
          <w:bCs w:val="0"/>
          <w:snapToGrid w:val="0"/>
          <w:color w:val="auto"/>
          <w:kern w:val="0"/>
          <w:sz w:val="32"/>
          <w:szCs w:val="32"/>
          <w:lang w:eastAsia="zh-CN"/>
        </w:rPr>
        <w:t>五</w:t>
      </w:r>
      <w:r>
        <w:rPr>
          <w:rFonts w:hint="eastAsia" w:ascii="彩虹黑体" w:hAnsi="彩虹黑体" w:eastAsia="彩虹黑体" w:cs="彩虹黑体"/>
          <w:b w:val="0"/>
          <w:bCs w:val="0"/>
          <w:snapToGrid w:val="0"/>
          <w:color w:val="auto"/>
          <w:kern w:val="0"/>
          <w:sz w:val="32"/>
          <w:szCs w:val="32"/>
        </w:rPr>
        <w:t>、</w:t>
      </w:r>
      <w:r>
        <w:rPr>
          <w:rFonts w:hint="eastAsia" w:ascii="彩虹黑体" w:hAnsi="彩虹黑体" w:eastAsia="彩虹黑体" w:cs="彩虹黑体"/>
          <w:b w:val="0"/>
          <w:bCs/>
          <w:snapToGrid w:val="0"/>
          <w:color w:val="auto"/>
          <w:kern w:val="0"/>
          <w:sz w:val="32"/>
          <w:szCs w:val="32"/>
        </w:rPr>
        <w:t>服务供应安排</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1.本项目</w:t>
      </w: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rPr>
        <w:t>家中标单位互为备选，</w:t>
      </w:r>
      <w:r>
        <w:rPr>
          <w:rFonts w:hint="eastAsia" w:ascii="彩虹粗仿宋" w:hAnsi="宋体" w:eastAsia="彩虹粗仿宋" w:cs="Times New Roman"/>
          <w:snapToGrid w:val="0"/>
          <w:color w:val="auto"/>
          <w:kern w:val="0"/>
          <w:sz w:val="32"/>
          <w:szCs w:val="32"/>
          <w:lang w:val="en-US" w:eastAsia="zh-CN"/>
        </w:rPr>
        <w:t>1家中标单位</w:t>
      </w:r>
      <w:r>
        <w:rPr>
          <w:rFonts w:hint="eastAsia" w:ascii="彩虹粗仿宋" w:hAnsi="宋体" w:eastAsia="彩虹粗仿宋" w:cs="Times New Roman"/>
          <w:snapToGrid w:val="0"/>
          <w:color w:val="auto"/>
          <w:kern w:val="0"/>
          <w:sz w:val="32"/>
          <w:szCs w:val="32"/>
        </w:rPr>
        <w:t>因履约不合格、违约退出服务时，</w:t>
      </w:r>
      <w:r>
        <w:rPr>
          <w:rFonts w:hint="eastAsia" w:ascii="彩虹粗仿宋" w:hAnsi="宋体" w:eastAsia="彩虹粗仿宋" w:cs="Times New Roman"/>
          <w:snapToGrid w:val="0"/>
          <w:color w:val="auto"/>
          <w:kern w:val="0"/>
          <w:sz w:val="32"/>
          <w:szCs w:val="32"/>
          <w:lang w:eastAsia="zh-CN"/>
        </w:rPr>
        <w:t>另一</w:t>
      </w:r>
      <w:r>
        <w:rPr>
          <w:rFonts w:hint="eastAsia" w:ascii="彩虹粗仿宋" w:hAnsi="宋体" w:eastAsia="彩虹粗仿宋" w:cs="Times New Roman"/>
          <w:snapToGrid w:val="0"/>
          <w:color w:val="auto"/>
          <w:kern w:val="0"/>
          <w:sz w:val="32"/>
          <w:szCs w:val="32"/>
        </w:rPr>
        <w:t>中标</w:t>
      </w:r>
      <w:r>
        <w:rPr>
          <w:rFonts w:hint="eastAsia" w:ascii="彩虹粗仿宋" w:hAnsi="宋体" w:eastAsia="彩虹粗仿宋" w:cs="Times New Roman"/>
          <w:snapToGrid w:val="0"/>
          <w:color w:val="auto"/>
          <w:kern w:val="0"/>
          <w:sz w:val="32"/>
          <w:szCs w:val="32"/>
          <w:lang w:eastAsia="zh-CN"/>
        </w:rPr>
        <w:t>单位</w:t>
      </w:r>
      <w:r>
        <w:rPr>
          <w:rFonts w:hint="eastAsia" w:ascii="彩虹粗仿宋" w:hAnsi="宋体" w:eastAsia="彩虹粗仿宋" w:cs="Times New Roman"/>
          <w:snapToGrid w:val="0"/>
          <w:color w:val="auto"/>
          <w:kern w:val="0"/>
          <w:sz w:val="32"/>
          <w:szCs w:val="32"/>
        </w:rPr>
        <w:t>即刻全盘承接本项目现金清分外包全部服务，服务单价、作业标准沿用本次中标约定条款。</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2.</w:t>
      </w:r>
      <w:r>
        <w:rPr>
          <w:rFonts w:hint="eastAsia" w:ascii="彩虹粗仿宋" w:hAnsi="宋体" w:eastAsia="彩虹粗仿宋" w:cs="Times New Roman"/>
          <w:snapToGrid w:val="0"/>
          <w:color w:val="auto"/>
          <w:kern w:val="0"/>
          <w:sz w:val="32"/>
          <w:szCs w:val="32"/>
        </w:rPr>
        <w:t>服务时间要求，</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应按行方对作业任务具体时限要求完成相应工作。</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3</w:t>
      </w:r>
      <w:r>
        <w:rPr>
          <w:rFonts w:hint="eastAsia" w:ascii="彩虹粗仿宋" w:hAnsi="宋体" w:eastAsia="彩虹粗仿宋" w:cs="Times New Roman"/>
          <w:snapToGrid w:val="0"/>
          <w:color w:val="auto"/>
          <w:kern w:val="0"/>
          <w:sz w:val="32"/>
          <w:szCs w:val="32"/>
        </w:rPr>
        <w:t>.服务地点要求，行方辖属</w:t>
      </w:r>
      <w:r>
        <w:rPr>
          <w:rFonts w:ascii="彩虹粗仿宋" w:hAnsi="宋体" w:eastAsia="彩虹粗仿宋" w:cs="Times New Roman"/>
          <w:snapToGrid w:val="0"/>
          <w:color w:val="auto"/>
          <w:kern w:val="0"/>
          <w:sz w:val="32"/>
          <w:szCs w:val="32"/>
        </w:rPr>
        <w:t>金库机构</w:t>
      </w:r>
      <w:r>
        <w:rPr>
          <w:rFonts w:hint="eastAsia" w:ascii="彩虹粗仿宋" w:hAnsi="宋体" w:eastAsia="彩虹粗仿宋" w:cs="Times New Roman"/>
          <w:snapToGrid w:val="0"/>
          <w:color w:val="auto"/>
          <w:kern w:val="0"/>
          <w:sz w:val="32"/>
          <w:szCs w:val="32"/>
        </w:rPr>
        <w:t>指定的工作场所。</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lang w:val="en-US" w:eastAsia="zh-CN"/>
        </w:rPr>
        <w:t>4</w:t>
      </w:r>
      <w:r>
        <w:rPr>
          <w:rFonts w:hint="eastAsia" w:ascii="彩虹粗仿宋" w:hAnsi="宋体" w:eastAsia="彩虹粗仿宋" w:cs="Times New Roman"/>
          <w:snapToGrid w:val="0"/>
          <w:color w:val="auto"/>
          <w:kern w:val="0"/>
          <w:sz w:val="32"/>
          <w:szCs w:val="32"/>
        </w:rPr>
        <w:t>.本采购项下的价款为包含增值税的含税价，已包含本采购项下行方应支付的所有款项，行方无须再支付任何其他款项。</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hint="eastAsia" w:ascii="彩虹黑体" w:hAnsi="彩虹黑体" w:eastAsia="彩虹黑体" w:cs="彩虹黑体"/>
          <w:b w:val="0"/>
          <w:bCs/>
          <w:snapToGrid w:val="0"/>
          <w:color w:val="auto"/>
          <w:kern w:val="0"/>
          <w:sz w:val="32"/>
          <w:szCs w:val="32"/>
        </w:rPr>
      </w:pPr>
      <w:r>
        <w:rPr>
          <w:rFonts w:hint="eastAsia" w:ascii="彩虹黑体" w:hAnsi="彩虹黑体" w:eastAsia="彩虹黑体" w:cs="彩虹黑体"/>
          <w:b w:val="0"/>
          <w:bCs w:val="0"/>
          <w:snapToGrid w:val="0"/>
          <w:color w:val="auto"/>
          <w:kern w:val="0"/>
          <w:sz w:val="32"/>
          <w:szCs w:val="32"/>
          <w:lang w:eastAsia="zh-CN"/>
        </w:rPr>
        <w:t>六</w:t>
      </w:r>
      <w:r>
        <w:rPr>
          <w:rFonts w:hint="eastAsia" w:ascii="彩虹黑体" w:hAnsi="彩虹黑体" w:eastAsia="彩虹黑体" w:cs="彩虹黑体"/>
          <w:b w:val="0"/>
          <w:bCs w:val="0"/>
          <w:snapToGrid w:val="0"/>
          <w:color w:val="auto"/>
          <w:kern w:val="0"/>
          <w:sz w:val="32"/>
          <w:szCs w:val="32"/>
        </w:rPr>
        <w:t>、</w:t>
      </w:r>
      <w:r>
        <w:rPr>
          <w:rFonts w:hint="eastAsia" w:ascii="彩虹黑体" w:hAnsi="彩虹黑体" w:eastAsia="彩虹黑体" w:cs="彩虹黑体"/>
          <w:b w:val="0"/>
          <w:bCs/>
          <w:snapToGrid w:val="0"/>
          <w:color w:val="auto"/>
          <w:kern w:val="0"/>
          <w:sz w:val="32"/>
          <w:szCs w:val="32"/>
        </w:rPr>
        <w:t>款项支付要求</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1.行方、</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双方之间发生的本采购项下价款、费用均以人民币结算及支付。</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2.现金清分整点外包服务费用由行方各辖属机构与</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按季结算，通过</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在建行开立的账户进行。</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在每季结束后编制《现金清分整点服务结算单》（附件），交行方各辖属机构确认</w:t>
      </w:r>
      <w:r>
        <w:rPr>
          <w:rFonts w:hint="eastAsia" w:ascii="彩虹粗仿宋" w:hAnsi="宋体" w:eastAsia="彩虹粗仿宋" w:cs="Times New Roman"/>
          <w:snapToGrid w:val="0"/>
          <w:color w:val="auto"/>
          <w:kern w:val="0"/>
          <w:sz w:val="32"/>
          <w:szCs w:val="32"/>
          <w:lang w:eastAsia="zh-CN"/>
        </w:rPr>
        <w:t>并向区分行备份</w:t>
      </w:r>
      <w:r>
        <w:rPr>
          <w:rFonts w:hint="eastAsia" w:ascii="彩虹粗仿宋" w:hAnsi="宋体" w:eastAsia="彩虹粗仿宋" w:cs="Times New Roman"/>
          <w:snapToGrid w:val="0"/>
          <w:color w:val="auto"/>
          <w:kern w:val="0"/>
          <w:sz w:val="32"/>
          <w:szCs w:val="32"/>
        </w:rPr>
        <w:t>，扣除双方约定的扣款事项后，按实际金额开具符合国家规定的增值</w:t>
      </w:r>
      <w:r>
        <w:rPr>
          <w:rFonts w:hint="eastAsia" w:ascii="彩虹粗仿宋" w:hAnsi="宋体" w:eastAsia="彩虹粗仿宋" w:cs="Times New Roman"/>
          <w:snapToGrid w:val="0"/>
          <w:color w:val="auto"/>
          <w:kern w:val="0"/>
          <w:sz w:val="32"/>
          <w:szCs w:val="32"/>
          <w:lang w:eastAsia="zh-CN"/>
        </w:rPr>
        <w:t>税</w:t>
      </w:r>
      <w:r>
        <w:rPr>
          <w:rFonts w:hint="eastAsia" w:ascii="彩虹粗仿宋" w:hAnsi="宋体" w:eastAsia="彩虹粗仿宋" w:cs="Times New Roman"/>
          <w:snapToGrid w:val="0"/>
          <w:color w:val="auto"/>
          <w:kern w:val="0"/>
          <w:sz w:val="32"/>
          <w:szCs w:val="32"/>
        </w:rPr>
        <w:t>专用发票，行方各辖属机构收到</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发票后在</w:t>
      </w:r>
      <w:r>
        <w:rPr>
          <w:rFonts w:hint="eastAsia" w:ascii="彩虹粗仿宋" w:hAnsi="宋体" w:eastAsia="彩虹粗仿宋" w:cs="Times New Roman"/>
          <w:snapToGrid w:val="0"/>
          <w:color w:val="auto"/>
          <w:kern w:val="0"/>
          <w:sz w:val="32"/>
          <w:szCs w:val="32"/>
          <w:lang w:eastAsia="zh-CN"/>
        </w:rPr>
        <w:t>四十五</w:t>
      </w:r>
      <w:r>
        <w:rPr>
          <w:rFonts w:hint="eastAsia" w:ascii="彩虹粗仿宋" w:hAnsi="宋体" w:eastAsia="彩虹粗仿宋" w:cs="Times New Roman"/>
          <w:snapToGrid w:val="0"/>
          <w:color w:val="auto"/>
          <w:kern w:val="0"/>
          <w:sz w:val="32"/>
          <w:szCs w:val="32"/>
        </w:rPr>
        <w:t>日内将款项直接汇入</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指定的账户。</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w:t>
      </w:r>
      <w:r>
        <w:rPr>
          <w:rFonts w:hint="eastAsia"/>
          <w:color w:val="auto"/>
        </w:rPr>
        <w:t xml:space="preserve"> </w:t>
      </w:r>
      <w:r>
        <w:rPr>
          <w:rFonts w:hint="eastAsia" w:ascii="彩虹粗仿宋" w:hAnsi="宋体" w:eastAsia="彩虹粗仿宋" w:cs="Times New Roman"/>
          <w:snapToGrid w:val="0"/>
          <w:color w:val="auto"/>
          <w:kern w:val="0"/>
          <w:sz w:val="32"/>
          <w:szCs w:val="32"/>
        </w:rPr>
        <w:t>增值税发票条款</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（1）</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在收到行方支付的款项前</w:t>
      </w:r>
      <w:r>
        <w:rPr>
          <w:rFonts w:hint="eastAsia" w:ascii="彩虹粗仿宋" w:hAnsi="宋体" w:eastAsia="彩虹粗仿宋" w:cs="Times New Roman"/>
          <w:snapToGrid w:val="0"/>
          <w:color w:val="auto"/>
          <w:kern w:val="0"/>
          <w:sz w:val="32"/>
          <w:szCs w:val="32"/>
          <w:lang w:eastAsia="zh-CN"/>
        </w:rPr>
        <w:t>四十五</w:t>
      </w:r>
      <w:r>
        <w:rPr>
          <w:rFonts w:hint="eastAsia" w:ascii="彩虹粗仿宋" w:hAnsi="宋体" w:eastAsia="彩虹粗仿宋" w:cs="Times New Roman"/>
          <w:snapToGrid w:val="0"/>
          <w:color w:val="auto"/>
          <w:kern w:val="0"/>
          <w:sz w:val="32"/>
          <w:szCs w:val="32"/>
        </w:rPr>
        <w:t>个工作日开具(或通过税务机关代开）当次支付金额的符合规定的增值税专用发票。</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（2）如</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依据税收法律法规无法开具（或通过税务机关代开）增值税专用发票，</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应当开具合法有效的增值税普通发票。如未来</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登记成为增值税一般纳税人，应及时通知行方。自</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登记成为增值税一般纳税人起，</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应向行方开具符合规定的增值税专用发票。</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（3）</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应当在发票开具之日起五日内向行方交付，否则行方有权拒收发票并要求</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重新开具。</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（4）如</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向行方开具的发票无效、虚假、发票类型与合同约定不符，或者</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发生迟延开具或交付发票的情形，或者</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出现违反合同约定的其他情形，</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应当赔偿行方全部损失，包括但不限于税金、附加税费、罚金、滞纳金。</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（5）如发生需要作废发票或开具红字发票等情形，</w:t>
      </w:r>
      <w:r>
        <w:rPr>
          <w:rFonts w:hint="eastAsia" w:ascii="彩虹粗仿宋" w:hAnsi="宋体" w:eastAsia="彩虹粗仿宋" w:cs="Times New Roman"/>
          <w:snapToGrid w:val="0"/>
          <w:color w:val="auto"/>
          <w:kern w:val="0"/>
          <w:sz w:val="32"/>
          <w:szCs w:val="32"/>
          <w:lang w:eastAsia="zh-CN"/>
        </w:rPr>
        <w:t>投标人</w:t>
      </w:r>
      <w:r>
        <w:rPr>
          <w:rFonts w:hint="eastAsia" w:ascii="彩虹粗仿宋" w:hAnsi="宋体" w:eastAsia="彩虹粗仿宋" w:cs="Times New Roman"/>
          <w:snapToGrid w:val="0"/>
          <w:color w:val="auto"/>
          <w:kern w:val="0"/>
          <w:sz w:val="32"/>
          <w:szCs w:val="32"/>
        </w:rPr>
        <w:t>应当根据行方要求及时开具发票。</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color w:val="auto"/>
          <w:kern w:val="0"/>
          <w:sz w:val="32"/>
          <w:szCs w:val="32"/>
        </w:rPr>
      </w:pPr>
      <w:r>
        <w:rPr>
          <w:rFonts w:hint="eastAsia" w:ascii="彩虹粗仿宋" w:hAnsi="宋体" w:eastAsia="彩虹粗仿宋" w:cs="Times New Roman"/>
          <w:snapToGrid w:val="0"/>
          <w:color w:val="auto"/>
          <w:kern w:val="0"/>
          <w:sz w:val="32"/>
          <w:szCs w:val="32"/>
        </w:rPr>
        <w:t>（6）如依据我国法律法规及税收政策，本合同项下服务所涉及的增值税税率发生调整，双方一致同意按照调整后的增值税税率相应调整产品价款，调整方法如下：即自增值税税率调整之日起，在原不含税价格不变的基础上，按照新税率重新计算含税价格，并继续履行本合同其他条款。</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hint="eastAsia" w:ascii="彩虹黑体" w:hAnsi="彩虹黑体" w:eastAsia="彩虹黑体" w:cs="彩虹黑体"/>
          <w:b w:val="0"/>
          <w:bCs/>
          <w:snapToGrid w:val="0"/>
          <w:color w:val="auto"/>
          <w:kern w:val="0"/>
          <w:sz w:val="32"/>
          <w:szCs w:val="32"/>
        </w:rPr>
      </w:pPr>
      <w:r>
        <w:rPr>
          <w:rFonts w:hint="eastAsia" w:ascii="彩虹黑体" w:hAnsi="彩虹黑体" w:eastAsia="彩虹黑体" w:cs="彩虹黑体"/>
          <w:b w:val="0"/>
          <w:bCs w:val="0"/>
          <w:snapToGrid w:val="0"/>
          <w:color w:val="auto"/>
          <w:kern w:val="0"/>
          <w:sz w:val="32"/>
          <w:szCs w:val="32"/>
          <w:lang w:eastAsia="zh-CN"/>
        </w:rPr>
        <w:t>七</w:t>
      </w:r>
      <w:r>
        <w:rPr>
          <w:rFonts w:hint="eastAsia" w:ascii="彩虹黑体" w:hAnsi="彩虹黑体" w:eastAsia="彩虹黑体" w:cs="彩虹黑体"/>
          <w:b w:val="0"/>
          <w:bCs w:val="0"/>
          <w:snapToGrid w:val="0"/>
          <w:color w:val="auto"/>
          <w:kern w:val="0"/>
          <w:sz w:val="32"/>
          <w:szCs w:val="32"/>
        </w:rPr>
        <w:t>、</w:t>
      </w:r>
      <w:r>
        <w:rPr>
          <w:rFonts w:hint="eastAsia" w:ascii="彩虹黑体" w:hAnsi="彩虹黑体" w:eastAsia="彩虹黑体" w:cs="彩虹黑体"/>
          <w:b w:val="0"/>
          <w:bCs/>
          <w:snapToGrid w:val="0"/>
          <w:color w:val="auto"/>
          <w:kern w:val="0"/>
          <w:sz w:val="32"/>
          <w:szCs w:val="32"/>
        </w:rPr>
        <w:t>报价要求</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kern w:val="0"/>
          <w:sz w:val="32"/>
          <w:szCs w:val="32"/>
        </w:rPr>
      </w:pPr>
      <w:r>
        <w:rPr>
          <w:rFonts w:hint="eastAsia" w:ascii="彩虹粗仿宋" w:hAnsi="宋体" w:eastAsia="彩虹粗仿宋" w:cs="Times New Roman"/>
          <w:snapToGrid w:val="0"/>
          <w:kern w:val="0"/>
          <w:sz w:val="32"/>
          <w:szCs w:val="32"/>
        </w:rPr>
        <w:t>1.外包</w:t>
      </w:r>
      <w:r>
        <w:rPr>
          <w:rFonts w:hint="eastAsia" w:ascii="彩虹粗仿宋" w:hAnsi="宋体" w:eastAsia="彩虹粗仿宋" w:cs="Times New Roman"/>
          <w:snapToGrid w:val="0"/>
          <w:kern w:val="0"/>
          <w:sz w:val="32"/>
          <w:szCs w:val="32"/>
          <w:lang w:eastAsia="zh-CN"/>
        </w:rPr>
        <w:t>服务</w:t>
      </w:r>
      <w:r>
        <w:rPr>
          <w:rFonts w:hint="eastAsia" w:ascii="彩虹粗仿宋" w:hAnsi="宋体" w:eastAsia="彩虹粗仿宋" w:cs="Times New Roman"/>
          <w:snapToGrid w:val="0"/>
          <w:kern w:val="0"/>
          <w:sz w:val="32"/>
          <w:szCs w:val="32"/>
        </w:rPr>
        <w:t>费用等于业务</w:t>
      </w:r>
      <w:r>
        <w:rPr>
          <w:rFonts w:hint="eastAsia" w:ascii="彩虹粗仿宋" w:hAnsi="宋体" w:eastAsia="彩虹粗仿宋" w:cs="Times New Roman"/>
          <w:snapToGrid w:val="0"/>
          <w:kern w:val="0"/>
          <w:sz w:val="32"/>
          <w:szCs w:val="32"/>
          <w:lang w:eastAsia="zh-CN"/>
        </w:rPr>
        <w:t>结算</w:t>
      </w:r>
      <w:r>
        <w:rPr>
          <w:rFonts w:hint="eastAsia" w:ascii="彩虹粗仿宋" w:hAnsi="宋体" w:eastAsia="彩虹粗仿宋" w:cs="Times New Roman"/>
          <w:snapToGrid w:val="0"/>
          <w:kern w:val="0"/>
          <w:sz w:val="32"/>
          <w:szCs w:val="32"/>
        </w:rPr>
        <w:t>量乘以单价，业务</w:t>
      </w:r>
      <w:r>
        <w:rPr>
          <w:rFonts w:hint="eastAsia" w:ascii="彩虹粗仿宋" w:hAnsi="宋体" w:eastAsia="彩虹粗仿宋" w:cs="Times New Roman"/>
          <w:snapToGrid w:val="0"/>
          <w:kern w:val="0"/>
          <w:sz w:val="32"/>
          <w:szCs w:val="32"/>
          <w:lang w:eastAsia="zh-CN"/>
        </w:rPr>
        <w:t>结算</w:t>
      </w:r>
      <w:r>
        <w:rPr>
          <w:rFonts w:hint="eastAsia" w:ascii="彩虹粗仿宋" w:hAnsi="宋体" w:eastAsia="彩虹粗仿宋" w:cs="Times New Roman"/>
          <w:snapToGrid w:val="0"/>
          <w:kern w:val="0"/>
          <w:sz w:val="32"/>
          <w:szCs w:val="32"/>
        </w:rPr>
        <w:t>量由清分</w:t>
      </w:r>
      <w:r>
        <w:rPr>
          <w:rFonts w:hint="eastAsia" w:ascii="彩虹粗仿宋" w:hAnsi="宋体" w:eastAsia="彩虹粗仿宋" w:cs="Times New Roman"/>
          <w:snapToGrid w:val="0"/>
          <w:kern w:val="0"/>
          <w:sz w:val="32"/>
          <w:szCs w:val="32"/>
          <w:lang w:eastAsia="zh-CN"/>
        </w:rPr>
        <w:t>量</w:t>
      </w:r>
      <w:r>
        <w:rPr>
          <w:rFonts w:hint="eastAsia" w:ascii="彩虹粗仿宋" w:hAnsi="宋体" w:eastAsia="彩虹粗仿宋" w:cs="Times New Roman"/>
          <w:snapToGrid w:val="0"/>
          <w:kern w:val="0"/>
          <w:sz w:val="32"/>
          <w:szCs w:val="32"/>
        </w:rPr>
        <w:t>和工作系数构成，等于</w:t>
      </w:r>
      <w:r>
        <w:rPr>
          <w:rFonts w:hint="eastAsia" w:ascii="彩虹粗仿宋" w:hAnsi="宋体" w:eastAsia="彩虹粗仿宋" w:cs="Times New Roman"/>
          <w:snapToGrid w:val="0"/>
          <w:kern w:val="0"/>
          <w:sz w:val="32"/>
          <w:szCs w:val="32"/>
          <w:lang w:eastAsia="zh-CN"/>
        </w:rPr>
        <w:t>清分量</w:t>
      </w:r>
      <w:r>
        <w:rPr>
          <w:rFonts w:hint="eastAsia" w:ascii="彩虹粗仿宋" w:hAnsi="宋体" w:eastAsia="彩虹粗仿宋" w:cs="Times New Roman"/>
          <w:snapToGrid w:val="0"/>
          <w:kern w:val="0"/>
          <w:sz w:val="32"/>
          <w:szCs w:val="32"/>
        </w:rPr>
        <w:t>乘以工作系数。</w:t>
      </w:r>
    </w:p>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ascii="彩虹粗仿宋" w:hAnsi="宋体" w:eastAsia="彩虹粗仿宋" w:cs="Times New Roman"/>
          <w:snapToGrid w:val="0"/>
          <w:kern w:val="0"/>
          <w:sz w:val="32"/>
          <w:szCs w:val="32"/>
        </w:rPr>
      </w:pPr>
      <w:r>
        <w:rPr>
          <w:rFonts w:ascii="彩虹粗仿宋" w:hAnsi="宋体" w:eastAsia="彩虹粗仿宋" w:cs="Times New Roman"/>
          <w:snapToGrid w:val="0"/>
          <w:kern w:val="0"/>
          <w:sz w:val="32"/>
          <w:szCs w:val="32"/>
        </w:rPr>
        <w:t>2.</w:t>
      </w:r>
      <w:r>
        <w:rPr>
          <w:rFonts w:hint="eastAsia" w:ascii="彩虹粗仿宋" w:hAnsi="宋体" w:eastAsia="彩虹粗仿宋" w:cs="Times New Roman"/>
          <w:snapToGrid w:val="0"/>
          <w:kern w:val="0"/>
          <w:sz w:val="32"/>
          <w:szCs w:val="32"/>
        </w:rPr>
        <w:t>报价只报</w:t>
      </w:r>
      <w:r>
        <w:rPr>
          <w:rFonts w:hint="eastAsia" w:ascii="彩虹粗仿宋" w:hAnsi="宋体" w:eastAsia="彩虹粗仿宋" w:cs="Times New Roman"/>
          <w:snapToGrid w:val="0"/>
          <w:kern w:val="0"/>
          <w:sz w:val="32"/>
          <w:szCs w:val="32"/>
          <w:lang w:eastAsia="zh-CN"/>
        </w:rPr>
        <w:t>基础</w:t>
      </w:r>
      <w:r>
        <w:rPr>
          <w:rFonts w:hint="eastAsia" w:ascii="彩虹粗仿宋" w:hAnsi="宋体" w:eastAsia="彩虹粗仿宋" w:cs="Times New Roman"/>
          <w:snapToGrid w:val="0"/>
          <w:kern w:val="0"/>
          <w:sz w:val="32"/>
          <w:szCs w:val="32"/>
        </w:rPr>
        <w:t>单价，即清分1捆（每捆为1000张）完整券的价格，报价为包含增值税的含税价。</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8"/>
          <w:szCs w:val="28"/>
          <w:u w:val="none"/>
        </w:rPr>
      </w:pPr>
      <w:r>
        <w:rPr>
          <w:rFonts w:hint="eastAsia" w:ascii="宋体" w:hAnsi="宋体" w:eastAsia="宋体" w:cs="宋体"/>
          <w:sz w:val="28"/>
          <w:szCs w:val="28"/>
          <w:u w:val="none"/>
        </w:rPr>
        <w:t>报价表</w:t>
      </w:r>
    </w:p>
    <w:tbl>
      <w:tblPr>
        <w:tblStyle w:val="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9"/>
        <w:gridCol w:w="2396"/>
        <w:gridCol w:w="3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684"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r>
              <w:rPr>
                <w:rFonts w:hint="eastAsia" w:ascii="宋体" w:hAnsi="宋体" w:eastAsia="宋体" w:cs="宋体"/>
                <w:sz w:val="21"/>
                <w:szCs w:val="21"/>
                <w:u w:val="none"/>
              </w:rPr>
              <w:t>服务/商品名称</w:t>
            </w:r>
          </w:p>
        </w:tc>
        <w:tc>
          <w:tcPr>
            <w:tcW w:w="1406"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r>
              <w:rPr>
                <w:rFonts w:hint="eastAsia" w:ascii="宋体" w:hAnsi="宋体" w:eastAsia="宋体" w:cs="宋体"/>
                <w:sz w:val="21"/>
                <w:szCs w:val="21"/>
                <w:u w:val="none"/>
              </w:rPr>
              <w:t>价格（元/捆）</w:t>
            </w:r>
          </w:p>
        </w:tc>
        <w:tc>
          <w:tcPr>
            <w:tcW w:w="1909"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r>
              <w:rPr>
                <w:rFonts w:hint="eastAsia" w:ascii="宋体" w:hAnsi="宋体" w:eastAsia="宋体" w:cs="宋体"/>
                <w:sz w:val="21"/>
                <w:szCs w:val="21"/>
                <w:u w:val="none"/>
              </w:rPr>
              <w:t>增值税税率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684"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r>
              <w:rPr>
                <w:rFonts w:hint="eastAsia" w:ascii="宋体" w:hAnsi="宋体" w:eastAsia="宋体" w:cs="宋体"/>
                <w:sz w:val="21"/>
                <w:szCs w:val="21"/>
                <w:u w:val="none"/>
              </w:rPr>
              <w:t>现金清分外包服务</w:t>
            </w:r>
          </w:p>
        </w:tc>
        <w:tc>
          <w:tcPr>
            <w:tcW w:w="1406"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p>
        </w:tc>
        <w:tc>
          <w:tcPr>
            <w:tcW w:w="1909" w:type="pc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宋体" w:hAnsi="宋体" w:eastAsia="宋体" w:cs="宋体"/>
                <w:sz w:val="21"/>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5000" w:type="pct"/>
            <w:gridSpan w:val="3"/>
            <w:vAlign w:val="center"/>
          </w:tcPr>
          <w:p>
            <w:pPr>
              <w:keepNext w:val="0"/>
              <w:keepLines w:val="0"/>
              <w:pageBreakBefore w:val="0"/>
              <w:widowControl w:val="0"/>
              <w:kinsoku/>
              <w:wordWrap/>
              <w:overflowPunct/>
              <w:topLinePunct w:val="0"/>
              <w:autoSpaceDE/>
              <w:autoSpaceDN/>
              <w:bidi w:val="0"/>
              <w:adjustRightInd w:val="0"/>
              <w:snapToGrid w:val="0"/>
              <w:spacing w:line="340" w:lineRule="exact"/>
              <w:jc w:val="both"/>
              <w:textAlignment w:val="auto"/>
              <w:rPr>
                <w:rFonts w:hint="eastAsia" w:cs="Times New Roman" w:asciiTheme="minorEastAsia" w:hAnsiTheme="minorEastAsia"/>
                <w:snapToGrid w:val="0"/>
                <w:kern w:val="0"/>
                <w:sz w:val="21"/>
                <w:szCs w:val="21"/>
              </w:rPr>
            </w:pPr>
            <w:r>
              <w:rPr>
                <w:rFonts w:cs="Times New Roman" w:asciiTheme="minorEastAsia" w:hAnsiTheme="minorEastAsia"/>
                <w:snapToGrid w:val="0"/>
                <w:kern w:val="0"/>
                <w:sz w:val="21"/>
                <w:szCs w:val="21"/>
              </w:rPr>
              <w:t>说明</w:t>
            </w:r>
            <w:r>
              <w:rPr>
                <w:rFonts w:hint="eastAsia" w:cs="Times New Roman" w:asciiTheme="minorEastAsia" w:hAnsiTheme="minorEastAsia"/>
                <w:snapToGrid w:val="0"/>
                <w:kern w:val="0"/>
                <w:sz w:val="21"/>
                <w:szCs w:val="21"/>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both"/>
              <w:textAlignment w:val="auto"/>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1.</w:t>
            </w:r>
            <w:r>
              <w:rPr>
                <w:rFonts w:cs="Times New Roman" w:asciiTheme="minorEastAsia" w:hAnsiTheme="minorEastAsia"/>
                <w:snapToGrid w:val="0"/>
                <w:kern w:val="0"/>
                <w:sz w:val="21"/>
                <w:szCs w:val="21"/>
              </w:rPr>
              <w:t>现金清分整点每捆张数为</w:t>
            </w:r>
            <w:r>
              <w:rPr>
                <w:rFonts w:hint="eastAsia" w:cs="Times New Roman" w:asciiTheme="minorEastAsia" w:hAnsiTheme="minorEastAsia"/>
                <w:snapToGrid w:val="0"/>
                <w:kern w:val="0"/>
                <w:sz w:val="21"/>
                <w:szCs w:val="21"/>
              </w:rPr>
              <w:t>1000张，报价为包含增值税的含税价。</w:t>
            </w:r>
          </w:p>
          <w:p>
            <w:pPr>
              <w:keepNext w:val="0"/>
              <w:keepLines w:val="0"/>
              <w:pageBreakBefore w:val="0"/>
              <w:widowControl w:val="0"/>
              <w:kinsoku/>
              <w:wordWrap/>
              <w:overflowPunct/>
              <w:topLinePunct w:val="0"/>
              <w:autoSpaceDE/>
              <w:autoSpaceDN/>
              <w:bidi w:val="0"/>
              <w:adjustRightInd w:val="0"/>
              <w:snapToGrid w:val="0"/>
              <w:spacing w:line="340" w:lineRule="exact"/>
              <w:ind w:firstLine="420" w:firstLineChars="200"/>
              <w:jc w:val="both"/>
              <w:textAlignment w:val="auto"/>
              <w:rPr>
                <w:rFonts w:cs="Times New Roman" w:asciiTheme="minorEastAsia" w:hAnsiTheme="minorEastAsia"/>
                <w:snapToGrid w:val="0"/>
                <w:kern w:val="0"/>
                <w:sz w:val="21"/>
                <w:szCs w:val="21"/>
              </w:rPr>
            </w:pPr>
            <w:r>
              <w:rPr>
                <w:rFonts w:hint="eastAsia" w:cs="Times New Roman" w:asciiTheme="minorEastAsia" w:hAnsiTheme="minorEastAsia"/>
                <w:snapToGrid w:val="0"/>
                <w:kern w:val="0"/>
                <w:sz w:val="21"/>
                <w:szCs w:val="21"/>
              </w:rPr>
              <w:t>2.上述价格中已包含</w:t>
            </w:r>
            <w:r>
              <w:rPr>
                <w:rFonts w:hint="eastAsia" w:cs="Times New Roman" w:asciiTheme="minorEastAsia" w:hAnsiTheme="minorEastAsia"/>
                <w:snapToGrid w:val="0"/>
                <w:kern w:val="0"/>
                <w:sz w:val="21"/>
                <w:szCs w:val="21"/>
                <w:lang w:eastAsia="zh-CN"/>
              </w:rPr>
              <w:t>投标人</w:t>
            </w:r>
            <w:r>
              <w:rPr>
                <w:rFonts w:hint="eastAsia" w:cs="Times New Roman" w:asciiTheme="minorEastAsia" w:hAnsiTheme="minorEastAsia"/>
                <w:snapToGrid w:val="0"/>
                <w:kern w:val="0"/>
                <w:sz w:val="21"/>
                <w:szCs w:val="21"/>
              </w:rPr>
              <w:t>各项管理成本及费用，行方不再承担其他任何费用。</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eastAsia" w:ascii="宋体" w:hAnsi="宋体" w:eastAsia="宋体" w:cs="宋体"/>
                <w:sz w:val="21"/>
                <w:szCs w:val="21"/>
                <w:u w:val="none"/>
              </w:rPr>
            </w:pPr>
            <w:r>
              <w:rPr>
                <w:rFonts w:hint="eastAsia" w:cs="Times New Roman" w:asciiTheme="minorEastAsia" w:hAnsiTheme="minorEastAsia"/>
                <w:snapToGrid w:val="0"/>
                <w:kern w:val="0"/>
                <w:sz w:val="21"/>
                <w:szCs w:val="21"/>
              </w:rPr>
              <w:t xml:space="preserve"> </w:t>
            </w:r>
            <w:r>
              <w:rPr>
                <w:rFonts w:hint="eastAsia" w:cs="Times New Roman" w:asciiTheme="minorEastAsia" w:hAnsiTheme="minorEastAsia"/>
                <w:snapToGrid w:val="0"/>
                <w:kern w:val="0"/>
                <w:sz w:val="21"/>
                <w:szCs w:val="21"/>
                <w:lang w:val="en-US" w:eastAsia="zh-CN"/>
              </w:rPr>
              <w:t xml:space="preserve">   </w:t>
            </w:r>
            <w:r>
              <w:rPr>
                <w:rFonts w:hint="eastAsia" w:cs="Times New Roman" w:asciiTheme="minorEastAsia" w:hAnsiTheme="minorEastAsia"/>
                <w:snapToGrid w:val="0"/>
                <w:kern w:val="0"/>
                <w:sz w:val="21"/>
                <w:szCs w:val="21"/>
              </w:rPr>
              <w:t>3.各公司可</w:t>
            </w:r>
            <w:r>
              <w:rPr>
                <w:rFonts w:hint="eastAsia" w:cs="Times New Roman" w:asciiTheme="minorEastAsia" w:hAnsiTheme="minorEastAsia"/>
                <w:snapToGrid w:val="0"/>
                <w:kern w:val="0"/>
                <w:sz w:val="21"/>
                <w:szCs w:val="21"/>
                <w:highlight w:val="none"/>
              </w:rPr>
              <w:t>以</w:t>
            </w:r>
            <w:r>
              <w:rPr>
                <w:rFonts w:cs="Times New Roman" w:asciiTheme="minorEastAsia" w:hAnsiTheme="minorEastAsia"/>
                <w:snapToGrid w:val="0"/>
                <w:kern w:val="0"/>
                <w:sz w:val="21"/>
                <w:szCs w:val="21"/>
                <w:highlight w:val="none"/>
              </w:rPr>
              <w:t>202</w:t>
            </w:r>
            <w:r>
              <w:rPr>
                <w:rFonts w:hint="eastAsia" w:cs="Times New Roman" w:asciiTheme="minorEastAsia" w:hAnsiTheme="minorEastAsia"/>
                <w:snapToGrid w:val="0"/>
                <w:kern w:val="0"/>
                <w:sz w:val="21"/>
                <w:szCs w:val="21"/>
                <w:highlight w:val="none"/>
                <w:lang w:val="en-US" w:eastAsia="zh-CN"/>
              </w:rPr>
              <w:t>6</w:t>
            </w:r>
            <w:r>
              <w:rPr>
                <w:rFonts w:hint="eastAsia" w:cs="Times New Roman" w:asciiTheme="minorEastAsia" w:hAnsiTheme="minorEastAsia"/>
                <w:snapToGrid w:val="0"/>
                <w:kern w:val="0"/>
                <w:sz w:val="21"/>
                <w:szCs w:val="21"/>
                <w:highlight w:val="none"/>
              </w:rPr>
              <w:t>年</w:t>
            </w:r>
            <w:r>
              <w:rPr>
                <w:rFonts w:hint="eastAsia" w:cs="Times New Roman" w:asciiTheme="minorEastAsia" w:hAnsiTheme="minorEastAsia"/>
                <w:snapToGrid w:val="0"/>
                <w:kern w:val="0"/>
                <w:sz w:val="21"/>
                <w:szCs w:val="21"/>
                <w:highlight w:val="none"/>
                <w:lang w:val="en-US" w:eastAsia="zh-CN"/>
              </w:rPr>
              <w:t>12月-2028年12月</w:t>
            </w:r>
            <w:r>
              <w:rPr>
                <w:rFonts w:hint="eastAsia" w:cs="Times New Roman" w:asciiTheme="minorEastAsia" w:hAnsiTheme="minorEastAsia"/>
                <w:snapToGrid w:val="0"/>
                <w:kern w:val="0"/>
                <w:sz w:val="21"/>
                <w:szCs w:val="21"/>
                <w:highlight w:val="none"/>
              </w:rPr>
              <w:t>的预估</w:t>
            </w:r>
            <w:r>
              <w:rPr>
                <w:rFonts w:hint="eastAsia" w:cs="Times New Roman" w:asciiTheme="minorEastAsia" w:hAnsiTheme="minorEastAsia"/>
                <w:snapToGrid w:val="0"/>
                <w:kern w:val="0"/>
                <w:sz w:val="21"/>
                <w:szCs w:val="21"/>
                <w:highlight w:val="none"/>
                <w:lang w:eastAsia="zh-CN"/>
              </w:rPr>
              <w:t>清分业务结算量</w:t>
            </w:r>
            <w:r>
              <w:rPr>
                <w:rFonts w:hint="eastAsia" w:cs="Times New Roman" w:asciiTheme="minorEastAsia" w:hAnsiTheme="minorEastAsia"/>
                <w:snapToGrid w:val="0"/>
                <w:kern w:val="0"/>
                <w:sz w:val="21"/>
                <w:szCs w:val="21"/>
              </w:rPr>
              <w:t>作为报价参考。</w:t>
            </w:r>
          </w:p>
        </w:tc>
      </w:tr>
    </w:tbl>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彩虹粗仿宋" w:eastAsia="彩虹粗仿宋" w:cs="彩虹粗仿宋"/>
          <w:snapToGrid w:val="0"/>
          <w:kern w:val="0"/>
          <w:sz w:val="32"/>
          <w:szCs w:val="32"/>
          <w:lang w:eastAsia="zh-CN"/>
        </w:rPr>
      </w:pPr>
      <w:r>
        <w:rPr>
          <w:rFonts w:hint="eastAsia" w:ascii="彩虹粗仿宋" w:hAnsi="彩虹粗仿宋" w:eastAsia="彩虹粗仿宋" w:cs="彩虹粗仿宋"/>
          <w:snapToGrid w:val="0"/>
          <w:kern w:val="0"/>
          <w:sz w:val="32"/>
          <w:szCs w:val="32"/>
          <w:lang w:eastAsia="zh-CN"/>
        </w:rPr>
        <w:t>2026年12月-2028年12月的预估清分业务结算量具体如下：</w:t>
      </w:r>
    </w:p>
    <w:p>
      <w:pPr>
        <w:keepNext w:val="0"/>
        <w:keepLines w:val="0"/>
        <w:pageBreakBefore w:val="0"/>
        <w:kinsoku/>
        <w:wordWrap/>
        <w:overflowPunct/>
        <w:topLinePunct w:val="0"/>
        <w:autoSpaceDE/>
        <w:autoSpaceDN/>
        <w:bidi w:val="0"/>
        <w:spacing w:line="240" w:lineRule="auto"/>
        <w:ind w:firstLine="0" w:firstLineChars="0"/>
        <w:jc w:val="center"/>
        <w:rPr>
          <w:rFonts w:hint="eastAsia" w:cs="Times New Roman" w:asciiTheme="minorEastAsia" w:hAnsiTheme="minorEastAsia"/>
          <w:snapToGrid w:val="0"/>
          <w:kern w:val="0"/>
          <w:sz w:val="28"/>
          <w:szCs w:val="28"/>
          <w:lang w:val="en-US" w:eastAsia="zh-CN"/>
        </w:rPr>
      </w:pPr>
      <w:r>
        <w:rPr>
          <w:rFonts w:hint="eastAsia" w:cs="Times New Roman" w:asciiTheme="minorEastAsia" w:hAnsiTheme="minorEastAsia"/>
          <w:snapToGrid w:val="0"/>
          <w:kern w:val="0"/>
          <w:sz w:val="28"/>
          <w:szCs w:val="28"/>
          <w:lang w:val="en-US" w:eastAsia="zh-CN"/>
        </w:rPr>
        <w:t>本次采购现金清分整点服务项目及预估业务结算量</w:t>
      </w:r>
    </w:p>
    <w:tbl>
      <w:tblPr>
        <w:tblStyle w:val="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7"/>
        <w:gridCol w:w="692"/>
        <w:gridCol w:w="5159"/>
        <w:gridCol w:w="1080"/>
        <w:gridCol w:w="9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币种</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w:t>
            </w:r>
          </w:p>
        </w:tc>
        <w:tc>
          <w:tcPr>
            <w:tcW w:w="6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工作系数</w:t>
            </w:r>
          </w:p>
        </w:tc>
        <w:tc>
          <w:tcPr>
            <w:tcW w:w="5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预估业务结算量（捆）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人民币</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完整券清点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680422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残损券清点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751135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硬币清点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15495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上门收款、现金异步接包清点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113735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自助设备回钞清点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297657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上门收款整点现金登记</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7094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自助设备配钞（箱）</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35182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人行交款装（配）包、网点领款装（配）包、网点交款接包及拆（清）包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197358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“小封包”打封签包装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57644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外币</w:t>
            </w: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完整券清点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9861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残损券清点</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3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4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网点领款装（配）包、网点交款接包及拆（清）包</w:t>
            </w:r>
          </w:p>
        </w:tc>
        <w:tc>
          <w:tcPr>
            <w:tcW w:w="6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719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441"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2167280</w:t>
            </w:r>
          </w:p>
        </w:tc>
      </w:tr>
    </w:tbl>
    <w:p>
      <w:pPr>
        <w:keepNext w:val="0"/>
        <w:keepLines w:val="0"/>
        <w:pageBreakBefore w:val="0"/>
        <w:kinsoku/>
        <w:wordWrap/>
        <w:overflowPunct/>
        <w:topLinePunct w:val="0"/>
        <w:autoSpaceDE/>
        <w:autoSpaceDN/>
        <w:bidi w:val="0"/>
        <w:adjustRightInd w:val="0"/>
        <w:snapToGrid w:val="0"/>
        <w:spacing w:line="587" w:lineRule="exact"/>
        <w:ind w:firstLine="640" w:firstLineChars="200"/>
        <w:jc w:val="both"/>
        <w:rPr>
          <w:rFonts w:hint="eastAsia" w:ascii="彩虹黑体" w:hAnsi="彩虹黑体" w:eastAsia="彩虹黑体" w:cs="彩虹黑体"/>
          <w:b w:val="0"/>
          <w:bCs/>
          <w:snapToGrid w:val="0"/>
          <w:color w:val="auto"/>
          <w:kern w:val="0"/>
          <w:sz w:val="32"/>
          <w:szCs w:val="32"/>
        </w:rPr>
      </w:pPr>
      <w:r>
        <w:rPr>
          <w:rFonts w:hint="eastAsia" w:ascii="彩虹黑体" w:hAnsi="彩虹黑体" w:eastAsia="彩虹黑体" w:cs="彩虹黑体"/>
          <w:b w:val="0"/>
          <w:bCs/>
          <w:snapToGrid w:val="0"/>
          <w:color w:val="auto"/>
          <w:kern w:val="0"/>
          <w:sz w:val="32"/>
          <w:szCs w:val="32"/>
        </w:rPr>
        <w:t>八、其他要求</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Calibri" w:eastAsia="彩虹粗仿宋" w:cs="黑体"/>
          <w:sz w:val="32"/>
          <w:szCs w:val="32"/>
        </w:rPr>
      </w:pPr>
      <w:r>
        <w:rPr>
          <w:rFonts w:hint="eastAsia" w:ascii="彩虹粗仿宋" w:hAnsi="Calibri" w:eastAsia="彩虹粗仿宋" w:cs="黑体"/>
          <w:sz w:val="32"/>
          <w:szCs w:val="32"/>
        </w:rPr>
        <w:t>1.</w:t>
      </w:r>
      <w:r>
        <w:rPr>
          <w:rFonts w:hint="eastAsia" w:ascii="彩虹粗仿宋" w:hAnsi="Calibri" w:eastAsia="彩虹粗仿宋" w:cs="黑体"/>
          <w:sz w:val="32"/>
          <w:szCs w:val="32"/>
          <w:highlight w:val="none"/>
          <w:lang w:eastAsia="zh-CN"/>
        </w:rPr>
        <w:t>投标人</w:t>
      </w:r>
      <w:r>
        <w:rPr>
          <w:rFonts w:hint="eastAsia" w:ascii="彩虹粗仿宋" w:hAnsi="Calibri" w:eastAsia="彩虹粗仿宋" w:cs="黑体"/>
          <w:sz w:val="32"/>
          <w:szCs w:val="32"/>
          <w:highlight w:val="none"/>
        </w:rPr>
        <w:t>如未能提供充足的人员</w:t>
      </w:r>
      <w:r>
        <w:rPr>
          <w:rFonts w:hint="eastAsia" w:ascii="彩虹粗仿宋" w:hAnsi="Calibri" w:eastAsia="彩虹粗仿宋" w:cs="黑体"/>
          <w:sz w:val="32"/>
          <w:szCs w:val="32"/>
        </w:rPr>
        <w:t>导致现金清分延误、差错率上升、业务积压或运营风险的，除上述处罚外，由此产生的一切损失及责任由</w:t>
      </w:r>
      <w:r>
        <w:rPr>
          <w:rFonts w:hint="eastAsia" w:ascii="彩虹粗仿宋" w:hAnsi="Calibri" w:eastAsia="彩虹粗仿宋" w:cs="黑体"/>
          <w:sz w:val="32"/>
          <w:szCs w:val="32"/>
          <w:lang w:eastAsia="zh-CN"/>
        </w:rPr>
        <w:t>投标人</w:t>
      </w:r>
      <w:r>
        <w:rPr>
          <w:rFonts w:hint="eastAsia" w:ascii="彩虹粗仿宋" w:hAnsi="Calibri" w:eastAsia="彩虹粗仿宋" w:cs="黑体"/>
          <w:sz w:val="32"/>
          <w:szCs w:val="32"/>
        </w:rPr>
        <w:t>全额承担，情节严重的，我行有权单方面终止外包服务合同。</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Calibri" w:eastAsia="彩虹粗仿宋" w:cs="黑体"/>
          <w:sz w:val="32"/>
          <w:szCs w:val="32"/>
        </w:rPr>
      </w:pPr>
      <w:r>
        <w:rPr>
          <w:rFonts w:ascii="彩虹粗仿宋" w:hAnsi="Calibri" w:eastAsia="彩虹粗仿宋" w:cs="黑体"/>
          <w:sz w:val="32"/>
          <w:szCs w:val="32"/>
        </w:rPr>
        <w:t>2</w:t>
      </w:r>
      <w:r>
        <w:rPr>
          <w:rFonts w:hint="eastAsia" w:ascii="彩虹粗仿宋" w:hAnsi="Calibri" w:eastAsia="彩虹粗仿宋" w:cs="黑体"/>
          <w:sz w:val="32"/>
          <w:szCs w:val="32"/>
        </w:rPr>
        <w:t>.合同期内如果由于行方上级行政策变更等原因致使合同无法继续履行，行方有权解除本合同。</w:t>
      </w:r>
    </w:p>
    <w:p>
      <w:pPr>
        <w:keepNext w:val="0"/>
        <w:keepLines w:val="0"/>
        <w:pageBreakBefore w:val="0"/>
        <w:kinsoku/>
        <w:wordWrap/>
        <w:overflowPunct/>
        <w:topLinePunct w:val="0"/>
        <w:autoSpaceDE/>
        <w:autoSpaceDN/>
        <w:bidi w:val="0"/>
        <w:spacing w:line="587" w:lineRule="exact"/>
        <w:ind w:firstLine="640" w:firstLineChars="200"/>
        <w:jc w:val="both"/>
        <w:rPr>
          <w:rFonts w:ascii="彩虹粗仿宋" w:hAnsi="Calibri" w:eastAsia="彩虹粗仿宋" w:cs="黑体"/>
          <w:sz w:val="32"/>
          <w:szCs w:val="32"/>
        </w:rPr>
      </w:pPr>
      <w:r>
        <w:rPr>
          <w:rFonts w:ascii="彩虹粗仿宋" w:hAnsi="Calibri" w:eastAsia="彩虹粗仿宋" w:cs="黑体"/>
          <w:sz w:val="32"/>
          <w:szCs w:val="32"/>
        </w:rPr>
        <w:t>3</w:t>
      </w:r>
      <w:r>
        <w:rPr>
          <w:rFonts w:hint="eastAsia" w:ascii="彩虹粗仿宋" w:hAnsi="Calibri" w:eastAsia="彩虹粗仿宋" w:cs="黑体"/>
          <w:sz w:val="32"/>
          <w:szCs w:val="32"/>
        </w:rPr>
        <w:t>.</w:t>
      </w:r>
      <w:r>
        <w:rPr>
          <w:rFonts w:hint="eastAsia" w:ascii="彩虹粗仿宋" w:hAnsi="Calibri" w:eastAsia="彩虹粗仿宋" w:cs="黑体"/>
          <w:sz w:val="32"/>
          <w:szCs w:val="32"/>
          <w:lang w:eastAsia="zh-CN"/>
        </w:rPr>
        <w:t>投标人</w:t>
      </w:r>
      <w:r>
        <w:rPr>
          <w:rFonts w:hint="eastAsia" w:ascii="彩虹粗仿宋" w:hAnsi="Calibri" w:eastAsia="彩虹粗仿宋" w:cs="黑体"/>
          <w:sz w:val="32"/>
          <w:szCs w:val="32"/>
        </w:rPr>
        <w:t>必须无条件清分各种券别的现金，不得对清分面额进行选择。</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Calibri" w:eastAsia="彩虹粗仿宋" w:cs="黑体"/>
          <w:sz w:val="32"/>
          <w:szCs w:val="32"/>
          <w:lang w:val="en-US" w:eastAsia="zh-CN"/>
        </w:rPr>
      </w:pPr>
      <w:r>
        <w:rPr>
          <w:rFonts w:hint="eastAsia" w:ascii="彩虹粗仿宋" w:hAnsi="Calibri" w:eastAsia="彩虹粗仿宋" w:cs="黑体"/>
          <w:sz w:val="32"/>
          <w:szCs w:val="32"/>
        </w:rPr>
        <w:t>4.</w:t>
      </w:r>
      <w:r>
        <w:rPr>
          <w:rFonts w:hint="eastAsia" w:ascii="彩虹粗仿宋" w:hAnsi="Calibri" w:eastAsia="彩虹粗仿宋" w:cs="黑体"/>
          <w:sz w:val="32"/>
          <w:szCs w:val="32"/>
          <w:lang w:eastAsia="zh-CN"/>
        </w:rPr>
        <w:t>投标人</w:t>
      </w:r>
      <w:r>
        <w:rPr>
          <w:rFonts w:ascii="彩虹粗仿宋" w:hAnsi="Calibri" w:eastAsia="彩虹粗仿宋" w:cs="黑体"/>
          <w:sz w:val="32"/>
          <w:szCs w:val="32"/>
        </w:rPr>
        <w:t>应保证</w:t>
      </w:r>
      <w:r>
        <w:rPr>
          <w:rFonts w:hint="eastAsia" w:ascii="彩虹粗仿宋" w:hAnsi="Calibri" w:eastAsia="彩虹粗仿宋" w:cs="黑体"/>
          <w:sz w:val="32"/>
          <w:szCs w:val="32"/>
        </w:rPr>
        <w:t>为</w:t>
      </w:r>
      <w:r>
        <w:rPr>
          <w:rFonts w:ascii="彩虹粗仿宋" w:hAnsi="Calibri" w:eastAsia="彩虹粗仿宋" w:cs="黑体"/>
          <w:sz w:val="32"/>
          <w:szCs w:val="32"/>
        </w:rPr>
        <w:t>行方</w:t>
      </w:r>
      <w:r>
        <w:rPr>
          <w:rFonts w:hint="eastAsia" w:ascii="彩虹粗仿宋" w:hAnsi="Calibri" w:eastAsia="彩虹粗仿宋" w:cs="黑体"/>
          <w:sz w:val="32"/>
          <w:szCs w:val="32"/>
        </w:rPr>
        <w:t>提供</w:t>
      </w:r>
      <w:r>
        <w:rPr>
          <w:rFonts w:ascii="彩虹粗仿宋" w:hAnsi="Calibri" w:eastAsia="彩虹粗仿宋" w:cs="黑体"/>
          <w:sz w:val="32"/>
          <w:szCs w:val="32"/>
        </w:rPr>
        <w:t>服务的</w:t>
      </w:r>
      <w:r>
        <w:rPr>
          <w:rFonts w:hint="eastAsia" w:ascii="彩虹粗仿宋" w:hAnsi="Calibri" w:eastAsia="彩虹粗仿宋" w:cs="黑体"/>
          <w:sz w:val="32"/>
          <w:szCs w:val="32"/>
          <w:lang w:eastAsia="zh-CN"/>
        </w:rPr>
        <w:t>员工</w:t>
      </w:r>
      <w:r>
        <w:rPr>
          <w:rFonts w:hint="eastAsia" w:ascii="彩虹粗仿宋" w:hAnsi="Calibri" w:eastAsia="彩虹粗仿宋" w:cs="黑体"/>
          <w:sz w:val="32"/>
          <w:szCs w:val="32"/>
        </w:rPr>
        <w:t>的</w:t>
      </w:r>
      <w:r>
        <w:rPr>
          <w:rFonts w:ascii="彩虹粗仿宋" w:hAnsi="Calibri" w:eastAsia="彩虹粗仿宋" w:cs="黑体"/>
          <w:sz w:val="32"/>
          <w:szCs w:val="32"/>
        </w:rPr>
        <w:t>稳定性。</w:t>
      </w:r>
      <w:r>
        <w:rPr>
          <w:rFonts w:hint="eastAsia" w:ascii="彩虹粗仿宋" w:hAnsi="Calibri" w:eastAsia="彩虹粗仿宋" w:cs="黑体"/>
          <w:sz w:val="32"/>
          <w:szCs w:val="32"/>
          <w:lang w:eastAsia="zh-CN"/>
        </w:rPr>
        <w:t>投标人</w:t>
      </w:r>
      <w:r>
        <w:rPr>
          <w:rFonts w:ascii="彩虹粗仿宋" w:hAnsi="Calibri" w:eastAsia="彩虹粗仿宋" w:cs="黑体"/>
          <w:sz w:val="32"/>
          <w:szCs w:val="32"/>
        </w:rPr>
        <w:t>应按照</w:t>
      </w:r>
      <w:r>
        <w:rPr>
          <w:rFonts w:hint="eastAsia" w:ascii="彩虹粗仿宋" w:hAnsi="Calibri" w:eastAsia="彩虹粗仿宋" w:cs="黑体"/>
          <w:sz w:val="32"/>
          <w:szCs w:val="32"/>
        </w:rPr>
        <w:t>国家</w:t>
      </w:r>
      <w:r>
        <w:rPr>
          <w:rFonts w:ascii="彩虹粗仿宋" w:hAnsi="Calibri" w:eastAsia="彩虹粗仿宋" w:cs="黑体"/>
          <w:sz w:val="32"/>
          <w:szCs w:val="32"/>
        </w:rPr>
        <w:t>劳动法律法规</w:t>
      </w:r>
      <w:r>
        <w:rPr>
          <w:rFonts w:hint="eastAsia" w:ascii="彩虹粗仿宋" w:hAnsi="Calibri" w:eastAsia="彩虹粗仿宋" w:cs="黑体"/>
          <w:sz w:val="32"/>
          <w:szCs w:val="32"/>
        </w:rPr>
        <w:t>的</w:t>
      </w:r>
      <w:r>
        <w:rPr>
          <w:rFonts w:ascii="彩虹粗仿宋" w:hAnsi="Calibri" w:eastAsia="彩虹粗仿宋" w:cs="黑体"/>
          <w:sz w:val="32"/>
          <w:szCs w:val="32"/>
        </w:rPr>
        <w:t>有关规定，与</w:t>
      </w:r>
      <w:r>
        <w:rPr>
          <w:rFonts w:hint="eastAsia" w:ascii="彩虹粗仿宋" w:hAnsi="Calibri" w:eastAsia="彩虹粗仿宋" w:cs="黑体"/>
          <w:sz w:val="32"/>
          <w:szCs w:val="32"/>
          <w:lang w:eastAsia="zh-CN"/>
        </w:rPr>
        <w:t>员工</w:t>
      </w:r>
      <w:r>
        <w:rPr>
          <w:rFonts w:ascii="彩虹粗仿宋" w:hAnsi="Calibri" w:eastAsia="彩虹粗仿宋" w:cs="黑体"/>
          <w:sz w:val="32"/>
          <w:szCs w:val="32"/>
        </w:rPr>
        <w:t>签订劳动合同</w:t>
      </w:r>
      <w:r>
        <w:rPr>
          <w:rFonts w:hint="eastAsia" w:ascii="彩虹粗仿宋" w:hAnsi="Calibri" w:eastAsia="彩虹粗仿宋" w:cs="黑体"/>
          <w:sz w:val="32"/>
          <w:szCs w:val="32"/>
          <w:lang w:eastAsia="zh-CN"/>
        </w:rPr>
        <w:t>及保密协议</w:t>
      </w:r>
      <w:r>
        <w:rPr>
          <w:rFonts w:hint="eastAsia" w:ascii="彩虹粗仿宋" w:hAnsi="Calibri" w:eastAsia="彩虹粗仿宋" w:cs="黑体"/>
          <w:sz w:val="32"/>
          <w:szCs w:val="32"/>
        </w:rPr>
        <w:t>，</w:t>
      </w:r>
      <w:r>
        <w:rPr>
          <w:rFonts w:ascii="彩虹粗仿宋" w:hAnsi="Calibri" w:eastAsia="彩虹粗仿宋" w:cs="黑体"/>
          <w:sz w:val="32"/>
          <w:szCs w:val="32"/>
        </w:rPr>
        <w:t>并按照</w:t>
      </w:r>
      <w:r>
        <w:rPr>
          <w:rFonts w:hint="eastAsia" w:ascii="彩虹粗仿宋" w:hAnsi="Calibri" w:eastAsia="彩虹粗仿宋" w:cs="黑体"/>
          <w:sz w:val="32"/>
          <w:szCs w:val="32"/>
        </w:rPr>
        <w:t>《劳动</w:t>
      </w:r>
      <w:r>
        <w:rPr>
          <w:rFonts w:ascii="彩虹粗仿宋" w:hAnsi="Calibri" w:eastAsia="彩虹粗仿宋" w:cs="黑体"/>
          <w:sz w:val="32"/>
          <w:szCs w:val="32"/>
        </w:rPr>
        <w:t>合同法</w:t>
      </w:r>
      <w:r>
        <w:rPr>
          <w:rFonts w:hint="eastAsia" w:ascii="彩虹粗仿宋" w:hAnsi="Calibri" w:eastAsia="彩虹粗仿宋" w:cs="黑体"/>
          <w:sz w:val="32"/>
          <w:szCs w:val="32"/>
        </w:rPr>
        <w:t>》等</w:t>
      </w:r>
      <w:r>
        <w:rPr>
          <w:rFonts w:ascii="彩虹粗仿宋" w:hAnsi="Calibri" w:eastAsia="彩虹粗仿宋" w:cs="黑体"/>
          <w:sz w:val="32"/>
          <w:szCs w:val="32"/>
        </w:rPr>
        <w:t>相关法律规定</w:t>
      </w:r>
      <w:r>
        <w:rPr>
          <w:rFonts w:hint="eastAsia" w:ascii="彩虹粗仿宋" w:hAnsi="Calibri" w:eastAsia="彩虹粗仿宋" w:cs="黑体"/>
          <w:sz w:val="32"/>
          <w:szCs w:val="32"/>
        </w:rPr>
        <w:t>给予</w:t>
      </w:r>
      <w:r>
        <w:rPr>
          <w:rFonts w:hint="eastAsia" w:ascii="彩虹粗仿宋" w:hAnsi="Calibri" w:eastAsia="彩虹粗仿宋" w:cs="黑体"/>
          <w:sz w:val="32"/>
          <w:szCs w:val="32"/>
          <w:lang w:eastAsia="zh-CN"/>
        </w:rPr>
        <w:t>员工</w:t>
      </w:r>
      <w:r>
        <w:rPr>
          <w:rFonts w:ascii="彩虹粗仿宋" w:hAnsi="Calibri" w:eastAsia="彩虹粗仿宋" w:cs="黑体"/>
          <w:sz w:val="32"/>
          <w:szCs w:val="32"/>
        </w:rPr>
        <w:t>基本工资及</w:t>
      </w:r>
      <w:r>
        <w:rPr>
          <w:rFonts w:hint="eastAsia" w:ascii="彩虹粗仿宋" w:hAnsi="Calibri" w:eastAsia="彩虹粗仿宋" w:cs="黑体"/>
          <w:sz w:val="32"/>
          <w:szCs w:val="32"/>
        </w:rPr>
        <w:t>“五险一金”等</w:t>
      </w:r>
      <w:r>
        <w:rPr>
          <w:rFonts w:ascii="彩虹粗仿宋" w:hAnsi="Calibri" w:eastAsia="彩虹粗仿宋" w:cs="黑体"/>
          <w:sz w:val="32"/>
          <w:szCs w:val="32"/>
        </w:rPr>
        <w:t>福利待遇。</w:t>
      </w:r>
      <w:r>
        <w:rPr>
          <w:rFonts w:hint="eastAsia" w:ascii="彩虹粗仿宋" w:hAnsi="Calibri" w:eastAsia="彩虹粗仿宋" w:cs="黑体"/>
          <w:sz w:val="32"/>
          <w:szCs w:val="32"/>
          <w:lang w:eastAsia="zh-CN"/>
        </w:rPr>
        <w:t>投标人</w:t>
      </w:r>
      <w:r>
        <w:rPr>
          <w:rFonts w:ascii="彩虹粗仿宋" w:hAnsi="Calibri" w:eastAsia="彩虹粗仿宋" w:cs="黑体"/>
          <w:sz w:val="32"/>
          <w:szCs w:val="32"/>
        </w:rPr>
        <w:t>与</w:t>
      </w:r>
      <w:r>
        <w:rPr>
          <w:rFonts w:hint="eastAsia" w:ascii="彩虹粗仿宋" w:hAnsi="Calibri" w:eastAsia="彩虹粗仿宋" w:cs="黑体"/>
          <w:sz w:val="32"/>
          <w:szCs w:val="32"/>
          <w:lang w:eastAsia="zh-CN"/>
        </w:rPr>
        <w:t>员工</w:t>
      </w:r>
      <w:r>
        <w:rPr>
          <w:rFonts w:hint="eastAsia" w:ascii="彩虹粗仿宋" w:hAnsi="Calibri" w:eastAsia="彩虹粗仿宋" w:cs="黑体"/>
          <w:sz w:val="32"/>
          <w:szCs w:val="32"/>
        </w:rPr>
        <w:t>发生任何</w:t>
      </w:r>
      <w:r>
        <w:rPr>
          <w:rFonts w:ascii="彩虹粗仿宋" w:hAnsi="Calibri" w:eastAsia="彩虹粗仿宋" w:cs="黑体"/>
          <w:sz w:val="32"/>
          <w:szCs w:val="32"/>
        </w:rPr>
        <w:t>的经济、</w:t>
      </w:r>
      <w:r>
        <w:rPr>
          <w:rFonts w:hint="eastAsia" w:ascii="彩虹粗仿宋" w:hAnsi="Calibri" w:eastAsia="彩虹粗仿宋" w:cs="黑体"/>
          <w:sz w:val="32"/>
          <w:szCs w:val="32"/>
        </w:rPr>
        <w:t>劳动</w:t>
      </w:r>
      <w:r>
        <w:rPr>
          <w:rFonts w:ascii="彩虹粗仿宋" w:hAnsi="Calibri" w:eastAsia="彩虹粗仿宋" w:cs="黑体"/>
          <w:sz w:val="32"/>
          <w:szCs w:val="32"/>
        </w:rPr>
        <w:t>纠纷、法律纠纷</w:t>
      </w:r>
      <w:r>
        <w:rPr>
          <w:rFonts w:hint="eastAsia" w:ascii="彩虹粗仿宋" w:hAnsi="Calibri" w:eastAsia="彩虹粗仿宋" w:cs="黑体"/>
          <w:sz w:val="32"/>
          <w:szCs w:val="32"/>
        </w:rPr>
        <w:t>和</w:t>
      </w:r>
      <w:r>
        <w:rPr>
          <w:rFonts w:ascii="彩虹粗仿宋" w:hAnsi="Calibri" w:eastAsia="彩虹粗仿宋" w:cs="黑体"/>
          <w:sz w:val="32"/>
          <w:szCs w:val="32"/>
        </w:rPr>
        <w:t>人身损害赔偿</w:t>
      </w:r>
      <w:r>
        <w:rPr>
          <w:rFonts w:hint="eastAsia" w:ascii="彩虹粗仿宋" w:hAnsi="Calibri" w:eastAsia="彩虹粗仿宋" w:cs="黑体"/>
          <w:sz w:val="32"/>
          <w:szCs w:val="32"/>
        </w:rPr>
        <w:t>纠纷</w:t>
      </w:r>
      <w:r>
        <w:rPr>
          <w:rFonts w:ascii="彩虹粗仿宋" w:hAnsi="Calibri" w:eastAsia="彩虹粗仿宋" w:cs="黑体"/>
          <w:sz w:val="32"/>
          <w:szCs w:val="32"/>
        </w:rPr>
        <w:t>等，</w:t>
      </w:r>
      <w:r>
        <w:rPr>
          <w:rFonts w:hint="eastAsia" w:ascii="彩虹粗仿宋" w:hAnsi="Calibri" w:eastAsia="彩虹粗仿宋" w:cs="黑体"/>
          <w:sz w:val="32"/>
          <w:szCs w:val="32"/>
        </w:rPr>
        <w:t>与</w:t>
      </w:r>
      <w:r>
        <w:rPr>
          <w:rFonts w:ascii="彩虹粗仿宋" w:hAnsi="Calibri" w:eastAsia="彩虹粗仿宋" w:cs="黑体"/>
          <w:sz w:val="32"/>
          <w:szCs w:val="32"/>
        </w:rPr>
        <w:t>行方无关，</w:t>
      </w:r>
      <w:r>
        <w:rPr>
          <w:rFonts w:hint="eastAsia" w:ascii="彩虹粗仿宋" w:hAnsi="Calibri" w:eastAsia="彩虹粗仿宋" w:cs="黑体"/>
          <w:sz w:val="32"/>
          <w:szCs w:val="32"/>
        </w:rPr>
        <w:t>由</w:t>
      </w:r>
      <w:r>
        <w:rPr>
          <w:rFonts w:hint="eastAsia" w:ascii="彩虹粗仿宋" w:hAnsi="Calibri" w:eastAsia="彩虹粗仿宋" w:cs="黑体"/>
          <w:sz w:val="32"/>
          <w:szCs w:val="32"/>
          <w:lang w:eastAsia="zh-CN"/>
        </w:rPr>
        <w:t>投标人</w:t>
      </w:r>
      <w:r>
        <w:rPr>
          <w:rFonts w:ascii="彩虹粗仿宋" w:hAnsi="Calibri" w:eastAsia="彩虹粗仿宋" w:cs="黑体"/>
          <w:sz w:val="32"/>
          <w:szCs w:val="32"/>
        </w:rPr>
        <w:t>自行</w:t>
      </w:r>
      <w:r>
        <w:rPr>
          <w:rFonts w:hint="eastAsia" w:ascii="彩虹粗仿宋" w:hAnsi="Calibri" w:eastAsia="彩虹粗仿宋" w:cs="黑体"/>
          <w:sz w:val="32"/>
          <w:szCs w:val="32"/>
        </w:rPr>
        <w:t>解决。</w:t>
      </w:r>
    </w:p>
    <w:p>
      <w:pPr>
        <w:keepNext w:val="0"/>
        <w:keepLines w:val="0"/>
        <w:pageBreakBefore w:val="0"/>
        <w:kinsoku/>
        <w:wordWrap/>
        <w:overflowPunct/>
        <w:topLinePunct w:val="0"/>
        <w:autoSpaceDE/>
        <w:autoSpaceDN/>
        <w:bidi w:val="0"/>
        <w:spacing w:line="587" w:lineRule="exact"/>
        <w:ind w:firstLine="640" w:firstLineChars="200"/>
        <w:jc w:val="both"/>
        <w:rPr>
          <w:rFonts w:hint="eastAsia" w:ascii="彩虹粗仿宋" w:hAnsi="宋体" w:eastAsia="彩虹粗仿宋" w:cs="Times New Roman"/>
          <w:snapToGrid w:val="0"/>
          <w:kern w:val="0"/>
          <w:sz w:val="32"/>
          <w:szCs w:val="32"/>
          <w:lang w:val="en-US" w:eastAsia="zh-CN"/>
        </w:rPr>
      </w:pPr>
      <w:r>
        <w:rPr>
          <w:rFonts w:hint="eastAsia" w:ascii="彩虹粗仿宋" w:hAnsi="Calibri" w:eastAsia="彩虹粗仿宋" w:cs="黑体"/>
          <w:sz w:val="32"/>
          <w:szCs w:val="32"/>
          <w:lang w:val="en-US" w:eastAsia="zh-CN"/>
        </w:rPr>
        <w:t>5</w:t>
      </w:r>
      <w:r>
        <w:rPr>
          <w:rFonts w:hint="eastAsia" w:ascii="彩虹粗仿宋" w:hAnsi="宋体" w:eastAsia="彩虹粗仿宋" w:cs="Times New Roman"/>
          <w:snapToGrid w:val="0"/>
          <w:kern w:val="0"/>
          <w:sz w:val="32"/>
          <w:szCs w:val="32"/>
          <w:lang w:val="en-US" w:eastAsia="zh-CN"/>
        </w:rPr>
        <w:t>.</w:t>
      </w:r>
      <w:r>
        <w:rPr>
          <w:rFonts w:hint="eastAsia" w:ascii="彩虹粗仿宋" w:hAnsi="宋体" w:eastAsia="彩虹粗仿宋" w:cs="Times New Roman"/>
          <w:snapToGrid w:val="0"/>
          <w:kern w:val="0"/>
          <w:sz w:val="32"/>
          <w:szCs w:val="32"/>
          <w:lang w:eastAsia="zh-CN"/>
        </w:rPr>
        <w:t>投标人应明确企业管理费，税费等各项成本项目结构；投标人的企业管理费、税费、办公成本三项管理费用之和占建行结算服务费用比例最高不得超过20%；投标人在收到建行结算款项后扣除上述三项管理费用后应全额用于员工支出（包括但不限于工资、福利及五险一金等）。</w:t>
      </w:r>
      <w:r>
        <w:rPr>
          <w:rFonts w:hint="eastAsia" w:ascii="彩虹粗仿宋" w:hAnsi="宋体" w:eastAsia="彩虹粗仿宋" w:cs="Times New Roman"/>
          <w:snapToGrid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6.投标人须在我行下辖网点开立结算账户，其中数币试点城市须开立数币对公账户，用于服务项目结算；原则上收到建行款项10日内通过建行代发员工工资（其中数币试点城市通过建设银行数字人民币钱包代发）。</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default"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 xml:space="preserve">    1.《现金清分整点服务结算单》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r>
        <w:rPr>
          <w:rFonts w:hint="eastAsia" w:ascii="彩虹粗仿宋" w:hAnsi="宋体" w:eastAsia="彩虹粗仿宋" w:cs="Times New Roman"/>
          <w:snapToGrid w:val="0"/>
          <w:kern w:val="0"/>
          <w:sz w:val="32"/>
          <w:szCs w:val="32"/>
          <w:lang w:val="en-US" w:eastAsia="zh-CN"/>
        </w:rPr>
        <w:t xml:space="preserve">    2.《外包岗位增配通知单》</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1280" w:firstLineChars="4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1280" w:firstLineChars="4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1280" w:firstLineChars="4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1280" w:firstLineChars="400"/>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1280" w:firstLineChars="400"/>
        <w:jc w:val="both"/>
        <w:textAlignment w:val="auto"/>
        <w:rPr>
          <w:rFonts w:hint="eastAsia" w:ascii="彩虹粗仿宋" w:hAnsi="宋体" w:eastAsia="彩虹粗仿宋" w:cs="Times New Roman"/>
          <w:snapToGrid w:val="0"/>
          <w:kern w:val="0"/>
          <w:sz w:val="32"/>
          <w:szCs w:val="3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default" w:ascii="彩虹黑体" w:hAnsi="彩虹黑体" w:eastAsia="彩虹黑体" w:cs="彩虹黑体"/>
          <w:snapToGrid w:val="0"/>
          <w:kern w:val="0"/>
          <w:sz w:val="32"/>
          <w:szCs w:val="32"/>
          <w:lang w:val="en-US" w:eastAsia="zh-CN"/>
        </w:rPr>
      </w:pPr>
      <w:r>
        <w:rPr>
          <w:rFonts w:hint="eastAsia" w:ascii="彩虹黑体" w:hAnsi="彩虹黑体" w:eastAsia="彩虹黑体" w:cs="彩虹黑体"/>
          <w:snapToGrid w:val="0"/>
          <w:kern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彩虹小标宋" w:hAnsi="彩虹小标宋" w:eastAsia="彩虹小标宋" w:cs="彩虹小标宋"/>
          <w:snapToGrid w:val="0"/>
          <w:kern w:val="0"/>
          <w:sz w:val="32"/>
          <w:szCs w:val="32"/>
          <w:lang w:val="en-US" w:eastAsia="zh-CN"/>
        </w:rPr>
      </w:pPr>
      <w:r>
        <w:rPr>
          <w:rFonts w:hint="eastAsia" w:ascii="彩虹小标宋" w:hAnsi="彩虹小标宋" w:eastAsia="彩虹小标宋" w:cs="彩虹小标宋"/>
          <w:snapToGrid w:val="0"/>
          <w:kern w:val="0"/>
          <w:sz w:val="32"/>
          <w:szCs w:val="32"/>
          <w:u w:val="single"/>
          <w:lang w:val="en-US" w:eastAsia="zh-CN"/>
        </w:rPr>
        <w:t xml:space="preserve">     </w:t>
      </w:r>
      <w:r>
        <w:rPr>
          <w:rFonts w:hint="eastAsia" w:ascii="彩虹小标宋" w:hAnsi="彩虹小标宋" w:eastAsia="彩虹小标宋" w:cs="彩虹小标宋"/>
          <w:snapToGrid w:val="0"/>
          <w:kern w:val="0"/>
          <w:sz w:val="32"/>
          <w:szCs w:val="32"/>
          <w:lang w:val="en-US" w:eastAsia="zh-CN"/>
        </w:rPr>
        <w:t>分行</w:t>
      </w:r>
      <w:r>
        <w:rPr>
          <w:rFonts w:hint="eastAsia" w:ascii="彩虹小标宋" w:hAnsi="彩虹小标宋" w:eastAsia="彩虹小标宋" w:cs="彩虹小标宋"/>
          <w:snapToGrid w:val="0"/>
          <w:kern w:val="0"/>
          <w:sz w:val="32"/>
          <w:szCs w:val="32"/>
          <w:u w:val="single"/>
          <w:lang w:val="en-US" w:eastAsia="zh-CN"/>
        </w:rPr>
        <w:t xml:space="preserve">   </w:t>
      </w:r>
      <w:r>
        <w:rPr>
          <w:rFonts w:hint="eastAsia" w:ascii="彩虹小标宋" w:hAnsi="彩虹小标宋" w:eastAsia="彩虹小标宋" w:cs="彩虹小标宋"/>
          <w:snapToGrid w:val="0"/>
          <w:kern w:val="0"/>
          <w:sz w:val="32"/>
          <w:szCs w:val="32"/>
          <w:u w:val="none"/>
          <w:lang w:val="en-US" w:eastAsia="zh-CN"/>
        </w:rPr>
        <w:t>年第</w:t>
      </w:r>
      <w:r>
        <w:rPr>
          <w:rFonts w:hint="eastAsia" w:ascii="彩虹小标宋" w:hAnsi="彩虹小标宋" w:eastAsia="彩虹小标宋" w:cs="彩虹小标宋"/>
          <w:snapToGrid w:val="0"/>
          <w:kern w:val="0"/>
          <w:sz w:val="32"/>
          <w:szCs w:val="32"/>
          <w:u w:val="single"/>
          <w:lang w:val="en-US" w:eastAsia="zh-CN"/>
        </w:rPr>
        <w:t xml:space="preserve">  </w:t>
      </w:r>
      <w:r>
        <w:rPr>
          <w:rFonts w:hint="eastAsia" w:ascii="彩虹小标宋" w:hAnsi="彩虹小标宋" w:eastAsia="彩虹小标宋" w:cs="彩虹小标宋"/>
          <w:snapToGrid w:val="0"/>
          <w:kern w:val="0"/>
          <w:sz w:val="32"/>
          <w:szCs w:val="32"/>
          <w:u w:val="none"/>
          <w:lang w:val="en-US" w:eastAsia="zh-CN"/>
        </w:rPr>
        <w:t>季度</w:t>
      </w:r>
      <w:r>
        <w:rPr>
          <w:rFonts w:hint="eastAsia" w:ascii="彩虹小标宋" w:hAnsi="彩虹小标宋" w:eastAsia="彩虹小标宋" w:cs="彩虹小标宋"/>
          <w:snapToGrid w:val="0"/>
          <w:kern w:val="0"/>
          <w:sz w:val="32"/>
          <w:szCs w:val="32"/>
          <w:lang w:val="en-US" w:eastAsia="zh-CN"/>
        </w:rPr>
        <w:t>现金清分整点服务结算单</w:t>
      </w:r>
    </w:p>
    <w:tbl>
      <w:tblPr>
        <w:tblStyle w:val="7"/>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646"/>
        <w:gridCol w:w="2444"/>
        <w:gridCol w:w="847"/>
        <w:gridCol w:w="1298"/>
        <w:gridCol w:w="753"/>
        <w:gridCol w:w="978"/>
        <w:gridCol w:w="9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币种</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内容</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工作系数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清分量（捆）</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业务结算量</w:t>
            </w:r>
            <w:r>
              <w:rPr>
                <w:rStyle w:val="10"/>
                <w:rFonts w:hint="eastAsia" w:ascii="宋体" w:hAnsi="宋体" w:eastAsia="宋体" w:cs="宋体"/>
                <w:i w:val="0"/>
                <w:iCs w:val="0"/>
                <w:color w:val="000000"/>
                <w:kern w:val="0"/>
                <w:sz w:val="21"/>
                <w:szCs w:val="21"/>
                <w:u w:val="none"/>
                <w:lang w:val="en-US" w:eastAsia="zh-CN" w:bidi="ar"/>
              </w:rPr>
              <w:footnoteReference w:id="0"/>
            </w:r>
            <w:r>
              <w:rPr>
                <w:rFonts w:hint="eastAsia" w:ascii="宋体" w:hAnsi="宋体" w:eastAsia="宋体" w:cs="宋体"/>
                <w:i w:val="0"/>
                <w:iCs w:val="0"/>
                <w:color w:val="000000"/>
                <w:kern w:val="0"/>
                <w:sz w:val="21"/>
                <w:szCs w:val="21"/>
                <w:u w:val="none"/>
                <w:lang w:val="en-US" w:eastAsia="zh-CN" w:bidi="ar"/>
              </w:rPr>
              <w:t>（捆）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人民币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完整券清点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残损券清点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硬币清点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上门收款、现金异步接包清点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自助设备回钞清点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上门收款整点现金登记</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自助设备配钞（箱）</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人行交款装（配）包、网点领款装（配）包、网点交款接包及拆（清）包</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“小封包”打封签包装</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外币</w:t>
            </w: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完整券清点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残损券清点</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3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69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网点领款装（配）包、网点交款接包及拆（清）包</w:t>
            </w:r>
          </w:p>
        </w:tc>
        <w:tc>
          <w:tcPr>
            <w:tcW w:w="4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单价（元/捆）</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本季奖励金额（元）</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本季扣减费用（元）</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85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本季结算金额合计</w:t>
            </w:r>
            <w:r>
              <w:rPr>
                <w:rStyle w:val="10"/>
                <w:rFonts w:hint="eastAsia" w:ascii="宋体" w:hAnsi="宋体" w:eastAsia="宋体" w:cs="宋体"/>
                <w:i w:val="0"/>
                <w:iCs w:val="0"/>
                <w:color w:val="000000"/>
                <w:kern w:val="0"/>
                <w:sz w:val="21"/>
                <w:szCs w:val="21"/>
                <w:u w:val="none"/>
                <w:lang w:val="en-US" w:eastAsia="zh-CN" w:bidi="ar"/>
              </w:rPr>
              <w:footnoteReference w:id="1"/>
            </w:r>
            <w:r>
              <w:rPr>
                <w:rFonts w:hint="eastAsia" w:ascii="宋体" w:hAnsi="宋体" w:eastAsia="宋体" w:cs="宋体"/>
                <w:i w:val="0"/>
                <w:iCs w:val="0"/>
                <w:color w:val="000000"/>
                <w:kern w:val="0"/>
                <w:sz w:val="21"/>
                <w:szCs w:val="21"/>
                <w:u w:val="none"/>
                <w:lang w:val="en-US" w:eastAsia="zh-CN" w:bidi="ar"/>
              </w:rPr>
              <w:t>（元）</w:t>
            </w:r>
          </w:p>
        </w:tc>
        <w:tc>
          <w:tcPr>
            <w:tcW w:w="11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149"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行方</w:t>
            </w:r>
          </w:p>
        </w:tc>
        <w:tc>
          <w:tcPr>
            <w:tcW w:w="49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2353" w:type="pct"/>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投标人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49" w:type="pct"/>
            <w:gridSpan w:val="3"/>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 xml:space="preserve">经办人：         复核人：           </w:t>
            </w:r>
          </w:p>
        </w:tc>
        <w:tc>
          <w:tcPr>
            <w:tcW w:w="497" w:type="pct"/>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c>
          <w:tcPr>
            <w:tcW w:w="2353" w:type="pct"/>
            <w:gridSpan w:val="4"/>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经办人：          复核人: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彩虹黑体" w:hAnsi="彩虹黑体" w:eastAsia="彩虹黑体" w:cs="彩虹黑体"/>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彩虹黑体" w:hAnsi="彩虹黑体" w:eastAsia="彩虹黑体" w:cs="彩虹黑体"/>
          <w:snapToGrid w:val="0"/>
          <w:kern w:val="0"/>
          <w:sz w:val="32"/>
          <w:szCs w:val="32"/>
          <w:lang w:val="en-US" w:eastAsia="zh-CN"/>
        </w:rPr>
      </w:pPr>
      <w:r>
        <w:rPr>
          <w:rFonts w:hint="eastAsia" w:ascii="彩虹黑体" w:hAnsi="彩虹黑体" w:eastAsia="彩虹黑体" w:cs="彩虹黑体"/>
          <w:snapToGrid w:val="0"/>
          <w:kern w:val="0"/>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彩虹粗仿宋" w:hAnsi="宋体" w:eastAsia="彩虹粗仿宋" w:cs="Times New Roman"/>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彩虹小标宋" w:hAnsi="彩虹小标宋" w:eastAsia="彩虹小标宋" w:cs="彩虹小标宋"/>
          <w:snapToGrid w:val="0"/>
          <w:kern w:val="0"/>
          <w:sz w:val="44"/>
          <w:szCs w:val="44"/>
          <w:lang w:val="en-US" w:eastAsia="zh-CN"/>
        </w:rPr>
      </w:pPr>
      <w:r>
        <w:rPr>
          <w:rFonts w:hint="eastAsia" w:ascii="彩虹小标宋" w:hAnsi="彩虹小标宋" w:eastAsia="彩虹小标宋" w:cs="彩虹小标宋"/>
          <w:snapToGrid w:val="0"/>
          <w:kern w:val="0"/>
          <w:sz w:val="44"/>
          <w:szCs w:val="44"/>
          <w:lang w:val="en-US" w:eastAsia="zh-CN"/>
        </w:rPr>
        <w:t>外包岗位增配通知单</w:t>
      </w:r>
    </w:p>
    <w:p>
      <w:pPr>
        <w:keepNext w:val="0"/>
        <w:keepLines w:val="0"/>
        <w:pageBreakBefore w:val="0"/>
        <w:widowControl w:val="0"/>
        <w:kinsoku/>
        <w:wordWrap/>
        <w:overflowPunct/>
        <w:topLinePunct w:val="0"/>
        <w:autoSpaceDE/>
        <w:autoSpaceDN/>
        <w:bidi w:val="0"/>
        <w:adjustRightInd/>
        <w:snapToGrid/>
        <w:spacing w:line="587" w:lineRule="exact"/>
        <w:jc w:val="center"/>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致XX公司：</w:t>
      </w:r>
    </w:p>
    <w:p>
      <w:pPr>
        <w:keepNext w:val="0"/>
        <w:keepLines w:val="0"/>
        <w:pageBreakBefore w:val="0"/>
        <w:widowControl w:val="0"/>
        <w:kinsoku/>
        <w:wordWrap/>
        <w:overflowPunct/>
        <w:topLinePunct w:val="0"/>
        <w:autoSpaceDE/>
        <w:autoSpaceDN/>
        <w:bidi w:val="0"/>
        <w:adjustRightInd/>
        <w:snapToGrid/>
        <w:spacing w:line="587" w:lineRule="exact"/>
        <w:jc w:val="both"/>
        <w:textAlignment w:val="auto"/>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 xml:space="preserve">    因____业务需要，现需增配驻场清分人员____人，要求到岗日期：____年__月__日。</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要求人员经政审、岗前培训及考核，提交完备的上岗资料后按时到岗。</w:t>
      </w:r>
    </w:p>
    <w:p>
      <w:pPr>
        <w:keepNext w:val="0"/>
        <w:keepLines w:val="0"/>
        <w:pageBreakBefore w:val="0"/>
        <w:widowControl w:val="0"/>
        <w:kinsoku/>
        <w:wordWrap/>
        <w:overflowPunct/>
        <w:topLinePunct w:val="0"/>
        <w:autoSpaceDE/>
        <w:autoSpaceDN/>
        <w:bidi w:val="0"/>
        <w:adjustRightInd/>
        <w:snapToGrid/>
        <w:spacing w:line="587" w:lineRule="exact"/>
        <w:ind w:firstLine="640" w:firstLineChars="2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jc w:val="right"/>
        <w:textAlignment w:val="auto"/>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中国建设银行____分行</w:t>
      </w:r>
    </w:p>
    <w:p>
      <w:pPr>
        <w:keepNext w:val="0"/>
        <w:keepLines w:val="0"/>
        <w:pageBreakBefore w:val="0"/>
        <w:widowControl w:val="0"/>
        <w:kinsoku/>
        <w:wordWrap/>
        <w:overflowPunct/>
        <w:topLinePunct w:val="0"/>
        <w:autoSpaceDE/>
        <w:autoSpaceDN/>
        <w:bidi w:val="0"/>
        <w:adjustRightInd/>
        <w:snapToGrid/>
        <w:spacing w:line="587" w:lineRule="exact"/>
        <w:ind w:firstLine="5120" w:firstLineChars="1600"/>
        <w:jc w:val="both"/>
        <w:textAlignment w:val="auto"/>
        <w:rPr>
          <w:rFonts w:hint="eastAsia" w:ascii="彩虹粗仿宋" w:hAnsi="彩虹粗仿宋" w:eastAsia="彩虹粗仿宋" w:cs="彩虹粗仿宋"/>
          <w:snapToGrid w:val="0"/>
          <w:kern w:val="0"/>
          <w:sz w:val="32"/>
          <w:szCs w:val="32"/>
          <w:lang w:val="en-US" w:eastAsia="zh-CN"/>
        </w:rPr>
      </w:pPr>
      <w:r>
        <w:rPr>
          <w:rFonts w:hint="eastAsia" w:ascii="彩虹粗仿宋" w:hAnsi="彩虹粗仿宋" w:eastAsia="彩虹粗仿宋" w:cs="彩虹粗仿宋"/>
          <w:snapToGrid w:val="0"/>
          <w:kern w:val="0"/>
          <w:sz w:val="32"/>
          <w:szCs w:val="32"/>
          <w:lang w:val="en-US" w:eastAsia="zh-CN"/>
        </w:rPr>
        <w:t>日期：</w:t>
      </w: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eastAsia" w:ascii="彩虹粗仿宋" w:hAnsi="彩虹粗仿宋" w:eastAsia="彩虹粗仿宋" w:cs="彩虹粗仿宋"/>
          <w:snapToGrid w:val="0"/>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7" w:lineRule="exact"/>
        <w:ind w:firstLine="5440" w:firstLineChars="1700"/>
        <w:jc w:val="both"/>
        <w:textAlignment w:val="auto"/>
        <w:rPr>
          <w:rFonts w:hint="default" w:ascii="彩虹粗仿宋" w:hAnsi="彩虹粗仿宋" w:eastAsia="彩虹粗仿宋" w:cs="彩虹粗仿宋"/>
          <w:snapToGrid w:val="0"/>
          <w:kern w:val="0"/>
          <w:sz w:val="32"/>
          <w:szCs w:val="32"/>
          <w:lang w:val="en-US" w:eastAsia="zh-CN"/>
        </w:rPr>
      </w:pP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方正宋体-人口信息-P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彩虹黑体">
    <w:panose1 w:val="03000509000000000000"/>
    <w:charset w:val="86"/>
    <w:family w:val="auto"/>
    <w:pitch w:val="default"/>
    <w:sig w:usb0="00000001" w:usb1="080E0000" w:usb2="00000000" w:usb3="00000000" w:csb0="00040000"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 w:name="方正宋体-人口信息-P2">
    <w:panose1 w:val="03000509000000000000"/>
    <w:charset w:val="86"/>
    <w:family w:val="auto"/>
    <w:pitch w:val="default"/>
    <w:sig w:usb0="10002003" w:usb1="BB1E0800" w:usb2="000A004E" w:usb3="00000000" w:csb0="003C0041" w:csb1="A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pPr>
        <w:pStyle w:val="5"/>
        <w:snapToGrid w:val="0"/>
        <w:rPr>
          <w:rFonts w:hint="default" w:eastAsiaTheme="minorEastAsia"/>
          <w:lang w:val="en-US" w:eastAsia="zh-CN"/>
        </w:rPr>
      </w:pPr>
      <w:r>
        <w:rPr>
          <w:rStyle w:val="10"/>
        </w:rPr>
        <w:footnoteRef/>
      </w:r>
      <w:r>
        <w:t xml:space="preserve"> </w:t>
      </w:r>
      <w:r>
        <w:rPr>
          <w:rFonts w:hint="eastAsia"/>
          <w:lang w:eastAsia="zh-CN"/>
        </w:rPr>
        <w:t>业务结算量</w:t>
      </w:r>
      <w:r>
        <w:rPr>
          <w:rFonts w:hint="eastAsia"/>
          <w:lang w:val="en-US" w:eastAsia="zh-CN"/>
        </w:rPr>
        <w:t>=工作系数</w:t>
      </w:r>
      <w:r>
        <w:rPr>
          <w:rFonts w:hint="default" w:ascii="Arial" w:hAnsi="Arial" w:cs="Arial"/>
          <w:lang w:val="en-US" w:eastAsia="zh-CN"/>
        </w:rPr>
        <w:t>×</w:t>
      </w:r>
      <w:r>
        <w:rPr>
          <w:rFonts w:hint="eastAsia" w:ascii="Arial" w:hAnsi="Arial" w:cs="Arial"/>
          <w:lang w:val="en-US" w:eastAsia="zh-CN"/>
        </w:rPr>
        <w:t>清分量</w:t>
      </w:r>
    </w:p>
  </w:footnote>
  <w:footnote w:id="1">
    <w:p>
      <w:pPr>
        <w:pStyle w:val="5"/>
        <w:snapToGrid w:val="0"/>
        <w:rPr>
          <w:rFonts w:hint="default" w:eastAsiaTheme="minorEastAsia"/>
          <w:lang w:val="en-US" w:eastAsia="zh-CN"/>
        </w:rPr>
      </w:pPr>
      <w:r>
        <w:rPr>
          <w:rStyle w:val="10"/>
        </w:rPr>
        <w:footnoteRef/>
      </w:r>
      <w:r>
        <w:t xml:space="preserve"> </w:t>
      </w:r>
      <w:r>
        <w:rPr>
          <w:rFonts w:hint="eastAsia"/>
          <w:lang w:eastAsia="zh-CN"/>
        </w:rPr>
        <w:t>本季结算金额合计</w:t>
      </w:r>
      <w:r>
        <w:rPr>
          <w:rFonts w:hint="eastAsia"/>
          <w:lang w:val="en-US" w:eastAsia="zh-CN"/>
        </w:rPr>
        <w:t>=单价</w:t>
      </w:r>
      <w:r>
        <w:rPr>
          <w:rFonts w:hint="default" w:ascii="Arial" w:hAnsi="Arial" w:cs="Arial"/>
          <w:lang w:val="en-US" w:eastAsia="zh-CN"/>
        </w:rPr>
        <w:t>×</w:t>
      </w:r>
      <w:r>
        <w:rPr>
          <w:rFonts w:hint="eastAsia" w:ascii="Arial" w:hAnsi="Arial" w:cs="Arial"/>
          <w:lang w:val="en-US" w:eastAsia="zh-CN"/>
        </w:rPr>
        <w:t>业务结算量+本季奖励金额-本季扣减费用</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259EC"/>
    <w:rsid w:val="061A3190"/>
    <w:rsid w:val="078FDAE9"/>
    <w:rsid w:val="08FD4CC7"/>
    <w:rsid w:val="0A6B0925"/>
    <w:rsid w:val="0F5B1954"/>
    <w:rsid w:val="0FC75823"/>
    <w:rsid w:val="1232769D"/>
    <w:rsid w:val="12745A53"/>
    <w:rsid w:val="12AAC387"/>
    <w:rsid w:val="137F60B0"/>
    <w:rsid w:val="14B17CB1"/>
    <w:rsid w:val="154E3F0A"/>
    <w:rsid w:val="155F76A4"/>
    <w:rsid w:val="15FEFFBC"/>
    <w:rsid w:val="16722A60"/>
    <w:rsid w:val="168D6DFC"/>
    <w:rsid w:val="1B7B56DF"/>
    <w:rsid w:val="1B9621A7"/>
    <w:rsid w:val="1EC1097B"/>
    <w:rsid w:val="1EDF1DC7"/>
    <w:rsid w:val="1F1FD579"/>
    <w:rsid w:val="1FAACD20"/>
    <w:rsid w:val="1FFA27DB"/>
    <w:rsid w:val="1FFB2403"/>
    <w:rsid w:val="1FFB3DFD"/>
    <w:rsid w:val="1FFEA3D7"/>
    <w:rsid w:val="1FFFB67D"/>
    <w:rsid w:val="24BF957F"/>
    <w:rsid w:val="26345AA8"/>
    <w:rsid w:val="27BE79BD"/>
    <w:rsid w:val="27D6AE45"/>
    <w:rsid w:val="28474D20"/>
    <w:rsid w:val="284C4A2B"/>
    <w:rsid w:val="29FF9460"/>
    <w:rsid w:val="2DC81EA9"/>
    <w:rsid w:val="2E7509AC"/>
    <w:rsid w:val="2EFF5DB8"/>
    <w:rsid w:val="2F36C097"/>
    <w:rsid w:val="2F712264"/>
    <w:rsid w:val="2F917A54"/>
    <w:rsid w:val="2FFDF6D4"/>
    <w:rsid w:val="30AD332E"/>
    <w:rsid w:val="315076E8"/>
    <w:rsid w:val="32A332A4"/>
    <w:rsid w:val="33661F0E"/>
    <w:rsid w:val="33AF47D8"/>
    <w:rsid w:val="33F4C68B"/>
    <w:rsid w:val="33F82B23"/>
    <w:rsid w:val="35DF4140"/>
    <w:rsid w:val="35DF5F31"/>
    <w:rsid w:val="366A3757"/>
    <w:rsid w:val="374FA7EA"/>
    <w:rsid w:val="3777399C"/>
    <w:rsid w:val="37BA1846"/>
    <w:rsid w:val="37EA9666"/>
    <w:rsid w:val="388C3493"/>
    <w:rsid w:val="39C579C0"/>
    <w:rsid w:val="39DFE886"/>
    <w:rsid w:val="3AFB16A4"/>
    <w:rsid w:val="3DAE4F21"/>
    <w:rsid w:val="3DFFA44B"/>
    <w:rsid w:val="3EF908AC"/>
    <w:rsid w:val="3EFE3E96"/>
    <w:rsid w:val="3EFF06AE"/>
    <w:rsid w:val="3EFFDF17"/>
    <w:rsid w:val="3F6D0D1B"/>
    <w:rsid w:val="3F7FB2C6"/>
    <w:rsid w:val="3FBB625B"/>
    <w:rsid w:val="3FEF78D9"/>
    <w:rsid w:val="3FFE840C"/>
    <w:rsid w:val="44092E2E"/>
    <w:rsid w:val="45BFED0F"/>
    <w:rsid w:val="475F3281"/>
    <w:rsid w:val="47BDA7D3"/>
    <w:rsid w:val="47D32AE4"/>
    <w:rsid w:val="47FE9ACB"/>
    <w:rsid w:val="48F3927D"/>
    <w:rsid w:val="4B51409F"/>
    <w:rsid w:val="4B5E25F5"/>
    <w:rsid w:val="4B9F4E23"/>
    <w:rsid w:val="4E7500C4"/>
    <w:rsid w:val="4FC3B0C1"/>
    <w:rsid w:val="4FFBB29E"/>
    <w:rsid w:val="51BB24AB"/>
    <w:rsid w:val="51F406DA"/>
    <w:rsid w:val="535D51B1"/>
    <w:rsid w:val="53BE437A"/>
    <w:rsid w:val="567B6DD8"/>
    <w:rsid w:val="57097B86"/>
    <w:rsid w:val="57DFE37D"/>
    <w:rsid w:val="57EDC4E8"/>
    <w:rsid w:val="586D0C1F"/>
    <w:rsid w:val="59EE8CCB"/>
    <w:rsid w:val="59F8B671"/>
    <w:rsid w:val="5ABC1703"/>
    <w:rsid w:val="5BF1B711"/>
    <w:rsid w:val="5BFE7B77"/>
    <w:rsid w:val="5C3B3014"/>
    <w:rsid w:val="5C495DD3"/>
    <w:rsid w:val="5CFDD48D"/>
    <w:rsid w:val="5D1FFE1F"/>
    <w:rsid w:val="5D3F7865"/>
    <w:rsid w:val="5DBFB171"/>
    <w:rsid w:val="5EBD7C71"/>
    <w:rsid w:val="5EE60DCD"/>
    <w:rsid w:val="5F3BC72B"/>
    <w:rsid w:val="5F533C24"/>
    <w:rsid w:val="5F7FA018"/>
    <w:rsid w:val="5FBF1F62"/>
    <w:rsid w:val="5FCBDD27"/>
    <w:rsid w:val="5FFE5199"/>
    <w:rsid w:val="5FFF9114"/>
    <w:rsid w:val="61DE6051"/>
    <w:rsid w:val="61FB616C"/>
    <w:rsid w:val="633E6EDE"/>
    <w:rsid w:val="63BB32BB"/>
    <w:rsid w:val="644347B1"/>
    <w:rsid w:val="65091D23"/>
    <w:rsid w:val="658A05B5"/>
    <w:rsid w:val="65BFFA27"/>
    <w:rsid w:val="65DD26A4"/>
    <w:rsid w:val="66CFA71B"/>
    <w:rsid w:val="67BFC34C"/>
    <w:rsid w:val="67FD7CBA"/>
    <w:rsid w:val="6AA53606"/>
    <w:rsid w:val="6C14D98D"/>
    <w:rsid w:val="6D0C771F"/>
    <w:rsid w:val="6DF97952"/>
    <w:rsid w:val="6E6BA1A4"/>
    <w:rsid w:val="6F5B634F"/>
    <w:rsid w:val="6F61430C"/>
    <w:rsid w:val="6F7D5F03"/>
    <w:rsid w:val="6FBF4D79"/>
    <w:rsid w:val="6FD3BDEB"/>
    <w:rsid w:val="6FFB52C0"/>
    <w:rsid w:val="6FFD5170"/>
    <w:rsid w:val="700F0311"/>
    <w:rsid w:val="70AA3CDC"/>
    <w:rsid w:val="717A04FA"/>
    <w:rsid w:val="71B374B1"/>
    <w:rsid w:val="71FECD69"/>
    <w:rsid w:val="723DB243"/>
    <w:rsid w:val="723FFAC2"/>
    <w:rsid w:val="72FE37B9"/>
    <w:rsid w:val="733718C7"/>
    <w:rsid w:val="7399D397"/>
    <w:rsid w:val="73F6AA4F"/>
    <w:rsid w:val="7687C527"/>
    <w:rsid w:val="76EDBB43"/>
    <w:rsid w:val="76FDCCC3"/>
    <w:rsid w:val="76FE43B4"/>
    <w:rsid w:val="76FF0471"/>
    <w:rsid w:val="776E1F1A"/>
    <w:rsid w:val="77CB0AB4"/>
    <w:rsid w:val="77D69867"/>
    <w:rsid w:val="77EB7F5C"/>
    <w:rsid w:val="78FF1C4F"/>
    <w:rsid w:val="797D7E32"/>
    <w:rsid w:val="79BDACFD"/>
    <w:rsid w:val="79F211C3"/>
    <w:rsid w:val="79F797B8"/>
    <w:rsid w:val="7ADEE37F"/>
    <w:rsid w:val="7AF04856"/>
    <w:rsid w:val="7AFD9B4D"/>
    <w:rsid w:val="7B3F4A42"/>
    <w:rsid w:val="7B6E3968"/>
    <w:rsid w:val="7BBA14F6"/>
    <w:rsid w:val="7BBCA37E"/>
    <w:rsid w:val="7BCB0AA6"/>
    <w:rsid w:val="7BDFF581"/>
    <w:rsid w:val="7BEE42E0"/>
    <w:rsid w:val="7BEF01BD"/>
    <w:rsid w:val="7BFC780D"/>
    <w:rsid w:val="7BFF69EF"/>
    <w:rsid w:val="7CE75D7D"/>
    <w:rsid w:val="7D6B3E7F"/>
    <w:rsid w:val="7D6D05E1"/>
    <w:rsid w:val="7D7BD62E"/>
    <w:rsid w:val="7D7F32BC"/>
    <w:rsid w:val="7D8C7689"/>
    <w:rsid w:val="7DA69ABF"/>
    <w:rsid w:val="7DCDFA1B"/>
    <w:rsid w:val="7DDF6B3D"/>
    <w:rsid w:val="7DDFC079"/>
    <w:rsid w:val="7DE7F2C8"/>
    <w:rsid w:val="7DEB592B"/>
    <w:rsid w:val="7DF1980C"/>
    <w:rsid w:val="7DF432CE"/>
    <w:rsid w:val="7DFD6D77"/>
    <w:rsid w:val="7DFF1DA7"/>
    <w:rsid w:val="7E9F44DD"/>
    <w:rsid w:val="7EB1758A"/>
    <w:rsid w:val="7ECFC494"/>
    <w:rsid w:val="7ED41770"/>
    <w:rsid w:val="7ED5C04B"/>
    <w:rsid w:val="7EDFCAC9"/>
    <w:rsid w:val="7EEF65FC"/>
    <w:rsid w:val="7EF73374"/>
    <w:rsid w:val="7F5F5216"/>
    <w:rsid w:val="7F665757"/>
    <w:rsid w:val="7F6B4ADF"/>
    <w:rsid w:val="7F6EA8FD"/>
    <w:rsid w:val="7F7E401F"/>
    <w:rsid w:val="7F8B5EDE"/>
    <w:rsid w:val="7F96E29F"/>
    <w:rsid w:val="7F9FA91E"/>
    <w:rsid w:val="7FA77A2F"/>
    <w:rsid w:val="7FAFA7C1"/>
    <w:rsid w:val="7FBC0E33"/>
    <w:rsid w:val="7FD396AF"/>
    <w:rsid w:val="7FD3B0A9"/>
    <w:rsid w:val="7FD79B50"/>
    <w:rsid w:val="7FD7C01B"/>
    <w:rsid w:val="7FDAFCCC"/>
    <w:rsid w:val="7FEDDCAC"/>
    <w:rsid w:val="7FF30D79"/>
    <w:rsid w:val="7FF70D94"/>
    <w:rsid w:val="7FFA155B"/>
    <w:rsid w:val="7FFD15E3"/>
    <w:rsid w:val="7FFE3700"/>
    <w:rsid w:val="7FFF2084"/>
    <w:rsid w:val="7FFFC0B7"/>
    <w:rsid w:val="853FA146"/>
    <w:rsid w:val="89A7E32D"/>
    <w:rsid w:val="8DE2BA75"/>
    <w:rsid w:val="925FD740"/>
    <w:rsid w:val="95738A61"/>
    <w:rsid w:val="97FF5EA6"/>
    <w:rsid w:val="9BBE6231"/>
    <w:rsid w:val="9EBF8EE7"/>
    <w:rsid w:val="9ED719C6"/>
    <w:rsid w:val="A3BD173C"/>
    <w:rsid w:val="A4E3E4B5"/>
    <w:rsid w:val="A5F7899E"/>
    <w:rsid w:val="A6FA8704"/>
    <w:rsid w:val="A7CF956D"/>
    <w:rsid w:val="A8FDC43A"/>
    <w:rsid w:val="ABBF376C"/>
    <w:rsid w:val="AEAD4808"/>
    <w:rsid w:val="AF5F2975"/>
    <w:rsid w:val="AF7C5136"/>
    <w:rsid w:val="AF7D6DC6"/>
    <w:rsid w:val="AFD5898D"/>
    <w:rsid w:val="AFDE1BF3"/>
    <w:rsid w:val="AFF15CFE"/>
    <w:rsid w:val="AFFB7DC7"/>
    <w:rsid w:val="AFFB8F2C"/>
    <w:rsid w:val="AFFFD812"/>
    <w:rsid w:val="B196337C"/>
    <w:rsid w:val="B1FFCB96"/>
    <w:rsid w:val="B57BF5A3"/>
    <w:rsid w:val="B7BADB28"/>
    <w:rsid w:val="B7ED485A"/>
    <w:rsid w:val="B7FEC846"/>
    <w:rsid w:val="B9FDA728"/>
    <w:rsid w:val="B9FF5880"/>
    <w:rsid w:val="BA79D653"/>
    <w:rsid w:val="BB77838B"/>
    <w:rsid w:val="BBFFDF0C"/>
    <w:rsid w:val="BCBB2FD6"/>
    <w:rsid w:val="BD7C4B91"/>
    <w:rsid w:val="BDDE3C13"/>
    <w:rsid w:val="BDEE254F"/>
    <w:rsid w:val="BE1710EC"/>
    <w:rsid w:val="BF79C36C"/>
    <w:rsid w:val="BFBEA150"/>
    <w:rsid w:val="BFEFCC5E"/>
    <w:rsid w:val="BFF74AB4"/>
    <w:rsid w:val="BFFA8D5D"/>
    <w:rsid w:val="BFFE4F95"/>
    <w:rsid w:val="BFFF8407"/>
    <w:rsid w:val="C7DF48F3"/>
    <w:rsid w:val="CAFDFD48"/>
    <w:rsid w:val="CBB1C4C9"/>
    <w:rsid w:val="CFEF7DC3"/>
    <w:rsid w:val="CFFFB252"/>
    <w:rsid w:val="D57753DC"/>
    <w:rsid w:val="D57F8657"/>
    <w:rsid w:val="D7A6D998"/>
    <w:rsid w:val="D7DED6CA"/>
    <w:rsid w:val="D7FFE195"/>
    <w:rsid w:val="D97F005A"/>
    <w:rsid w:val="DAFCDA9B"/>
    <w:rsid w:val="DBEFB0E2"/>
    <w:rsid w:val="DCB58968"/>
    <w:rsid w:val="DD3F677C"/>
    <w:rsid w:val="DD770E00"/>
    <w:rsid w:val="DDFF7563"/>
    <w:rsid w:val="DE2FAEFF"/>
    <w:rsid w:val="DE5EB362"/>
    <w:rsid w:val="DE7B0095"/>
    <w:rsid w:val="DEB72729"/>
    <w:rsid w:val="DEED4D9D"/>
    <w:rsid w:val="DEEDC0E4"/>
    <w:rsid w:val="DF6830D4"/>
    <w:rsid w:val="DF6FDD3A"/>
    <w:rsid w:val="DF7E122B"/>
    <w:rsid w:val="DF7F889E"/>
    <w:rsid w:val="DFA38FE9"/>
    <w:rsid w:val="DFB74AFF"/>
    <w:rsid w:val="DFBF8693"/>
    <w:rsid w:val="DFBFFE33"/>
    <w:rsid w:val="DFCD5B62"/>
    <w:rsid w:val="DFDF3912"/>
    <w:rsid w:val="DFF313E2"/>
    <w:rsid w:val="DFFCA7FE"/>
    <w:rsid w:val="DFFFE27F"/>
    <w:rsid w:val="E3F6C6A5"/>
    <w:rsid w:val="E4FD09E0"/>
    <w:rsid w:val="E77E97FA"/>
    <w:rsid w:val="E7AC20C7"/>
    <w:rsid w:val="E7EEDBD4"/>
    <w:rsid w:val="EABC7A1E"/>
    <w:rsid w:val="EB8357D8"/>
    <w:rsid w:val="EBBF29B2"/>
    <w:rsid w:val="EBD72F3D"/>
    <w:rsid w:val="EBDC2F5C"/>
    <w:rsid w:val="EDEF9D82"/>
    <w:rsid w:val="EDFCF826"/>
    <w:rsid w:val="EEFECCB7"/>
    <w:rsid w:val="EF7D7A84"/>
    <w:rsid w:val="EFAF077A"/>
    <w:rsid w:val="EFB6C8BD"/>
    <w:rsid w:val="EFCD499F"/>
    <w:rsid w:val="EFCFC8E1"/>
    <w:rsid w:val="EFEE0BB9"/>
    <w:rsid w:val="EFEFEAA3"/>
    <w:rsid w:val="EFF7EBD9"/>
    <w:rsid w:val="F0FB8C3C"/>
    <w:rsid w:val="F2FEE074"/>
    <w:rsid w:val="F578F9FE"/>
    <w:rsid w:val="F5B92CED"/>
    <w:rsid w:val="F62E33DC"/>
    <w:rsid w:val="F668271D"/>
    <w:rsid w:val="F6FA8364"/>
    <w:rsid w:val="F7BAFB72"/>
    <w:rsid w:val="F7D70BEE"/>
    <w:rsid w:val="F7DFEF47"/>
    <w:rsid w:val="F7E94BEF"/>
    <w:rsid w:val="F7F2EF42"/>
    <w:rsid w:val="F7F634AF"/>
    <w:rsid w:val="F87B4712"/>
    <w:rsid w:val="F8FF40B9"/>
    <w:rsid w:val="F93DC858"/>
    <w:rsid w:val="F9D59368"/>
    <w:rsid w:val="F9FE7F89"/>
    <w:rsid w:val="FAA5E942"/>
    <w:rsid w:val="FABDB32A"/>
    <w:rsid w:val="FAD12889"/>
    <w:rsid w:val="FADBB138"/>
    <w:rsid w:val="FAF7D4B9"/>
    <w:rsid w:val="FB7E0845"/>
    <w:rsid w:val="FB7E4A63"/>
    <w:rsid w:val="FB7F8CB7"/>
    <w:rsid w:val="FB8F7E82"/>
    <w:rsid w:val="FBAFD804"/>
    <w:rsid w:val="FBB74B8E"/>
    <w:rsid w:val="FBB7CFB6"/>
    <w:rsid w:val="FBB94FF9"/>
    <w:rsid w:val="FBF9260E"/>
    <w:rsid w:val="FBFEBFEA"/>
    <w:rsid w:val="FD0FB821"/>
    <w:rsid w:val="FDC7AD28"/>
    <w:rsid w:val="FDD74548"/>
    <w:rsid w:val="FDEB618B"/>
    <w:rsid w:val="FDF83513"/>
    <w:rsid w:val="FDFBBA11"/>
    <w:rsid w:val="FDFF0BEF"/>
    <w:rsid w:val="FE234B1C"/>
    <w:rsid w:val="FE320F4A"/>
    <w:rsid w:val="FE79C242"/>
    <w:rsid w:val="FE7F79CD"/>
    <w:rsid w:val="FE9F253C"/>
    <w:rsid w:val="FEDAAE10"/>
    <w:rsid w:val="FEDE802B"/>
    <w:rsid w:val="FEF926E1"/>
    <w:rsid w:val="FEFC85AA"/>
    <w:rsid w:val="FEFD1C05"/>
    <w:rsid w:val="FF1F2F8E"/>
    <w:rsid w:val="FF2ECE36"/>
    <w:rsid w:val="FF2F8A29"/>
    <w:rsid w:val="FF76B435"/>
    <w:rsid w:val="FF7E67FC"/>
    <w:rsid w:val="FF9E2E77"/>
    <w:rsid w:val="FFB3FF5F"/>
    <w:rsid w:val="FFB7A8FE"/>
    <w:rsid w:val="FFBE4440"/>
    <w:rsid w:val="FFBF6B3C"/>
    <w:rsid w:val="FFD71E5E"/>
    <w:rsid w:val="FFEE28DD"/>
    <w:rsid w:val="FFF7F2F5"/>
    <w:rsid w:val="FFFD2607"/>
    <w:rsid w:val="FFFDD28D"/>
    <w:rsid w:val="FFFE37A1"/>
    <w:rsid w:val="FFFF24F3"/>
    <w:rsid w:val="FFFFC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31"/>
    <w:basedOn w:val="9"/>
    <w:qFormat/>
    <w:uiPriority w:val="0"/>
    <w:rPr>
      <w:rFonts w:hint="eastAsia" w:ascii="宋体" w:hAnsi="宋体" w:eastAsia="宋体" w:cs="宋体"/>
      <w:color w:val="000000"/>
      <w:sz w:val="24"/>
      <w:szCs w:val="24"/>
      <w:u w:val="none"/>
    </w:rPr>
  </w:style>
  <w:style w:type="character" w:customStyle="1" w:styleId="12">
    <w:name w:val="font21"/>
    <w:basedOn w:val="9"/>
    <w:qFormat/>
    <w:uiPriority w:val="0"/>
    <w:rPr>
      <w:rFonts w:hint="eastAsia" w:ascii="宋体" w:hAnsi="宋体" w:eastAsia="宋体" w:cs="宋体"/>
      <w:color w:val="000000"/>
      <w:sz w:val="18"/>
      <w:szCs w:val="18"/>
      <w:u w:val="none"/>
    </w:rPr>
  </w:style>
  <w:style w:type="character" w:customStyle="1" w:styleId="13">
    <w:name w:val="font51"/>
    <w:basedOn w:val="9"/>
    <w:qFormat/>
    <w:uiPriority w:val="0"/>
    <w:rPr>
      <w:rFonts w:hint="eastAsia" w:ascii="宋体" w:hAnsi="宋体" w:eastAsia="宋体" w:cs="宋体"/>
      <w:color w:val="000000"/>
      <w:sz w:val="18"/>
      <w:szCs w:val="18"/>
      <w:u w:val="single"/>
    </w:rPr>
  </w:style>
  <w:style w:type="character" w:customStyle="1" w:styleId="14">
    <w:name w:val="font01"/>
    <w:basedOn w:val="9"/>
    <w:qFormat/>
    <w:uiPriority w:val="0"/>
    <w:rPr>
      <w:rFonts w:hint="eastAsia" w:ascii="宋体" w:hAnsi="宋体" w:eastAsia="宋体" w:cs="宋体"/>
      <w:color w:val="000000"/>
      <w:sz w:val="24"/>
      <w:szCs w:val="24"/>
      <w:u w:val="none"/>
    </w:rPr>
  </w:style>
  <w:style w:type="character" w:customStyle="1" w:styleId="15">
    <w:name w:val="font41"/>
    <w:basedOn w:val="9"/>
    <w:qFormat/>
    <w:uiPriority w:val="0"/>
    <w:rPr>
      <w:rFonts w:hint="eastAsia" w:ascii="彩虹小标宋" w:hAnsi="彩虹小标宋" w:eastAsia="彩虹小标宋" w:cs="彩虹小标宋"/>
      <w:color w:val="000000"/>
      <w:sz w:val="32"/>
      <w:szCs w:val="32"/>
      <w:u w:val="none"/>
    </w:rPr>
  </w:style>
  <w:style w:type="character" w:customStyle="1" w:styleId="16">
    <w:name w:val="font6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31</TotalTime>
  <ScaleCrop>false</ScaleCrop>
  <LinksUpToDate>false</LinksUpToDate>
  <CharactersWithSpaces>0</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2024-07-25T02:29:00Z</dcterms:created>
  <dc:creator>Administrator</dc:creator>
  <cp:lastModifiedBy>黄丹</cp:lastModifiedBy>
  <cp:lastPrinted>2026-06-09T09:41:00Z</cp:lastPrinted>
  <dcterms:modified xsi:type="dcterms:W3CDTF">2026-06-24T11:21:24Z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E49F3C514F61EB0733F6386A6212D38B_43</vt:lpwstr>
  </property>
</Properties>
</file>