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sz w:val="28"/>
          <w:szCs w:val="28"/>
        </w:rPr>
      </w:pPr>
      <w:bookmarkStart w:id="0" w:name="_GoBack"/>
      <w:bookmarkEnd w:id="0"/>
      <w:r>
        <w:rPr>
          <w:rFonts w:hint="eastAsia" w:ascii="仿宋" w:hAnsi="仿宋" w:eastAsia="仿宋" w:cs="仿宋"/>
          <w:b/>
          <w:sz w:val="28"/>
          <w:szCs w:val="28"/>
          <w:lang w:val="en-US" w:eastAsia="zh-CN"/>
        </w:rPr>
        <w:t>附件：</w:t>
      </w:r>
      <w:r>
        <w:rPr>
          <w:rFonts w:hint="eastAsia" w:ascii="仿宋" w:hAnsi="仿宋" w:eastAsia="仿宋" w:cs="仿宋"/>
          <w:b/>
          <w:sz w:val="28"/>
          <w:szCs w:val="28"/>
        </w:rPr>
        <w:t>关于</w:t>
      </w:r>
      <w:r>
        <w:rPr>
          <w:rFonts w:hint="eastAsia" w:ascii="仿宋" w:hAnsi="仿宋" w:eastAsia="仿宋" w:cs="仿宋"/>
          <w:b/>
          <w:sz w:val="28"/>
          <w:szCs w:val="28"/>
          <w:lang w:eastAsia="zh-CN"/>
        </w:rPr>
        <w:t>5G无线测试平台（网络模拟器平台）采购</w:t>
      </w:r>
      <w:r>
        <w:rPr>
          <w:rFonts w:hint="eastAsia" w:ascii="仿宋" w:hAnsi="仿宋" w:eastAsia="仿宋" w:cs="仿宋"/>
          <w:b/>
          <w:sz w:val="28"/>
          <w:szCs w:val="28"/>
        </w:rPr>
        <w:t>问卷调查表</w:t>
      </w:r>
    </w:p>
    <w:p w14:paraId="426574E3">
      <w:pPr>
        <w:spacing w:line="360" w:lineRule="auto"/>
        <w:rPr>
          <w:rFonts w:hint="eastAsia" w:ascii="仿宋" w:hAnsi="仿宋" w:eastAsia="仿宋" w:cs="仿宋"/>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u w:val="single"/>
        </w:rPr>
      </w:pPr>
      <w:r>
        <w:rPr>
          <w:rFonts w:hint="eastAsia" w:ascii="仿宋" w:hAnsi="仿宋" w:eastAsia="仿宋" w:cs="仿宋"/>
          <w:sz w:val="24"/>
          <w:szCs w:val="24"/>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广西科文招标有限公司受</w:t>
      </w:r>
      <w:r>
        <w:rPr>
          <w:rFonts w:hint="eastAsia" w:ascii="仿宋" w:hAnsi="仿宋" w:eastAsia="仿宋" w:cs="仿宋"/>
          <w:i w:val="0"/>
          <w:iCs w:val="0"/>
          <w:caps w:val="0"/>
          <w:color w:val="000000"/>
          <w:spacing w:val="0"/>
          <w:sz w:val="24"/>
          <w:szCs w:val="24"/>
          <w:shd w:val="clear" w:fill="FFFFFF"/>
          <w:lang w:val="en-US" w:eastAsia="zh-CN"/>
        </w:rPr>
        <w:t>桂林电子科技大学</w:t>
      </w:r>
      <w:r>
        <w:rPr>
          <w:rFonts w:hint="eastAsia" w:ascii="仿宋" w:hAnsi="仿宋" w:eastAsia="仿宋" w:cs="仿宋"/>
          <w:sz w:val="24"/>
          <w:szCs w:val="24"/>
        </w:rPr>
        <w:t>委托组织对</w:t>
      </w:r>
      <w:r>
        <w:rPr>
          <w:rFonts w:hint="eastAsia" w:ascii="仿宋" w:hAnsi="仿宋" w:eastAsia="仿宋" w:cs="仿宋"/>
          <w:sz w:val="24"/>
          <w:szCs w:val="24"/>
          <w:lang w:eastAsia="zh-CN"/>
        </w:rPr>
        <w:t>“5G无线测试平台（网络模拟器平台）”</w:t>
      </w:r>
      <w:r>
        <w:rPr>
          <w:rFonts w:hint="eastAsia" w:ascii="仿宋" w:hAnsi="仿宋" w:eastAsia="仿宋" w:cs="仿宋"/>
          <w:sz w:val="24"/>
          <w:szCs w:val="24"/>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1、参与本项目招标的意向：</w:t>
      </w:r>
      <w:r>
        <w:rPr>
          <w:rFonts w:hint="eastAsia" w:ascii="仿宋" w:hAnsi="仿宋" w:eastAsia="仿宋" w:cs="仿宋"/>
          <w:sz w:val="24"/>
          <w:szCs w:val="24"/>
        </w:rPr>
        <w:t>□想参加□未定，理由：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2、标的预算是否合理：</w:t>
      </w:r>
      <w:r>
        <w:rPr>
          <w:rFonts w:hint="eastAsia" w:ascii="仿宋" w:hAnsi="仿宋" w:eastAsia="仿宋" w:cs="仿宋"/>
          <w:sz w:val="24"/>
          <w:szCs w:val="24"/>
        </w:rPr>
        <w:t>□是□否（选填下表）</w:t>
      </w:r>
    </w:p>
    <w:tbl>
      <w:tblPr>
        <w:tblStyle w:val="7"/>
        <w:tblW w:w="9435" w:type="dxa"/>
        <w:jc w:val="center"/>
        <w:tblLayout w:type="fixed"/>
        <w:tblCellMar>
          <w:top w:w="0" w:type="dxa"/>
          <w:left w:w="108" w:type="dxa"/>
          <w:bottom w:w="0" w:type="dxa"/>
          <w:right w:w="108" w:type="dxa"/>
        </w:tblCellMar>
      </w:tblPr>
      <w:tblGrid>
        <w:gridCol w:w="486"/>
        <w:gridCol w:w="1587"/>
        <w:gridCol w:w="659"/>
        <w:gridCol w:w="677"/>
        <w:gridCol w:w="1314"/>
        <w:gridCol w:w="1913"/>
        <w:gridCol w:w="2079"/>
        <w:gridCol w:w="720"/>
      </w:tblGrid>
      <w:tr w14:paraId="0E203369">
        <w:tblPrEx>
          <w:tblCellMar>
            <w:top w:w="0" w:type="dxa"/>
            <w:left w:w="108" w:type="dxa"/>
            <w:bottom w:w="0" w:type="dxa"/>
            <w:right w:w="108" w:type="dxa"/>
          </w:tblCellMar>
        </w:tblPrEx>
        <w:trPr>
          <w:trHeight w:val="94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1587"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659"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数量</w:t>
            </w:r>
          </w:p>
        </w:tc>
        <w:tc>
          <w:tcPr>
            <w:tcW w:w="677"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单位</w:t>
            </w:r>
          </w:p>
        </w:tc>
        <w:tc>
          <w:tcPr>
            <w:tcW w:w="13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kern w:val="0"/>
                <w:szCs w:val="21"/>
                <w:lang w:eastAsia="zh-CN"/>
              </w:rPr>
            </w:pPr>
            <w:r>
              <w:rPr>
                <w:rFonts w:hint="eastAsia" w:ascii="仿宋" w:hAnsi="仿宋" w:eastAsia="仿宋" w:cs="仿宋"/>
                <w:kern w:val="0"/>
                <w:szCs w:val="21"/>
              </w:rPr>
              <w:t>预算价</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元</w:t>
            </w:r>
            <w:r>
              <w:rPr>
                <w:rFonts w:hint="eastAsia" w:ascii="仿宋" w:hAnsi="仿宋" w:eastAsia="仿宋" w:cs="仿宋"/>
                <w:kern w:val="0"/>
                <w:szCs w:val="21"/>
                <w:lang w:eastAsia="zh-CN"/>
              </w:rPr>
              <w:t>）</w:t>
            </w:r>
          </w:p>
        </w:tc>
        <w:tc>
          <w:tcPr>
            <w:tcW w:w="1913"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认为合理的价格</w:t>
            </w:r>
          </w:p>
          <w:p w14:paraId="50338CF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（供应商选填）</w:t>
            </w:r>
          </w:p>
        </w:tc>
        <w:tc>
          <w:tcPr>
            <w:tcW w:w="20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认为预算不合理的理由（供应商选填）</w:t>
            </w:r>
          </w:p>
        </w:tc>
        <w:tc>
          <w:tcPr>
            <w:tcW w:w="720"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01463B77">
        <w:tblPrEx>
          <w:tblCellMar>
            <w:top w:w="0" w:type="dxa"/>
            <w:left w:w="108" w:type="dxa"/>
            <w:bottom w:w="0" w:type="dxa"/>
            <w:right w:w="108" w:type="dxa"/>
          </w:tblCellMar>
        </w:tblPrEx>
        <w:trPr>
          <w:trHeight w:val="1067"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1587"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5G无线测试平台（网络模拟器平台）</w:t>
            </w:r>
          </w:p>
        </w:tc>
        <w:tc>
          <w:tcPr>
            <w:tcW w:w="659"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color w:val="000000"/>
                <w:kern w:val="0"/>
                <w:sz w:val="21"/>
                <w:szCs w:val="21"/>
                <w:u w:val="none"/>
                <w:lang w:val="en-US" w:eastAsia="zh-CN" w:bidi="ar"/>
              </w:rPr>
              <w:t>套</w:t>
            </w:r>
          </w:p>
        </w:tc>
        <w:tc>
          <w:tcPr>
            <w:tcW w:w="1314" w:type="dxa"/>
            <w:tcBorders>
              <w:top w:val="single" w:color="auto" w:sz="4" w:space="0"/>
              <w:left w:val="single" w:color="auto" w:sz="4" w:space="0"/>
              <w:bottom w:val="single" w:color="auto" w:sz="4" w:space="0"/>
              <w:right w:val="single" w:color="auto" w:sz="4" w:space="0"/>
            </w:tcBorders>
            <w:noWrap/>
            <w:vAlign w:val="center"/>
          </w:tcPr>
          <w:p w14:paraId="13D36927">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2960000.00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57DA0EDB">
            <w:pPr>
              <w:keepNext w:val="0"/>
              <w:keepLines w:val="0"/>
              <w:widowControl/>
              <w:suppressLineNumbers w:val="0"/>
              <w:jc w:val="center"/>
              <w:textAlignment w:val="center"/>
              <w:rPr>
                <w:rFonts w:hint="eastAsia" w:ascii="仿宋" w:hAnsi="仿宋" w:eastAsia="仿宋" w:cs="仿宋"/>
                <w:kern w:val="0"/>
                <w:sz w:val="21"/>
                <w:szCs w:val="21"/>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szCs w:val="21"/>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kern w:val="0"/>
                <w:szCs w:val="21"/>
              </w:rPr>
            </w:pPr>
          </w:p>
        </w:tc>
      </w:tr>
    </w:tbl>
    <w:p w14:paraId="6F1EA83B">
      <w:pPr>
        <w:spacing w:line="360" w:lineRule="auto"/>
        <w:rPr>
          <w:rFonts w:hint="eastAsia" w:ascii="仿宋" w:hAnsi="仿宋" w:eastAsia="仿宋" w:cs="仿宋"/>
          <w:b/>
          <w:szCs w:val="21"/>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相关产业发展情况：</w:t>
      </w:r>
    </w:p>
    <w:tbl>
      <w:tblPr>
        <w:tblStyle w:val="7"/>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szCs w:val="21"/>
                <w:lang w:eastAsia="zh-CN"/>
              </w:rPr>
            </w:pPr>
            <w:r>
              <w:rPr>
                <w:rFonts w:hint="eastAsia" w:ascii="仿宋" w:hAnsi="仿宋" w:eastAsia="仿宋" w:cs="仿宋"/>
                <w:kern w:val="0"/>
                <w:sz w:val="21"/>
                <w:szCs w:val="21"/>
                <w:lang w:eastAsia="zh-CN"/>
              </w:rPr>
              <w:t>5G无线测试平台（网络模拟器平台）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kern w:val="0"/>
                <w:szCs w:val="21"/>
              </w:rPr>
            </w:pPr>
          </w:p>
        </w:tc>
      </w:tr>
    </w:tbl>
    <w:p w14:paraId="3435681E">
      <w:pPr>
        <w:numPr>
          <w:ilvl w:val="0"/>
          <w:numId w:val="0"/>
        </w:numPr>
        <w:spacing w:line="360" w:lineRule="auto"/>
        <w:rPr>
          <w:rFonts w:hint="eastAsia" w:ascii="仿宋" w:hAnsi="仿宋" w:eastAsia="仿宋" w:cs="仿宋"/>
          <w:b/>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市场供给情况：</w:t>
      </w:r>
    </w:p>
    <w:tbl>
      <w:tblPr>
        <w:tblStyle w:val="7"/>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kern w:val="0"/>
                <w:szCs w:val="21"/>
                <w:lang w:val="en-US" w:eastAsia="zh-CN"/>
              </w:rPr>
            </w:pPr>
            <w:r>
              <w:rPr>
                <w:rFonts w:hint="eastAsia" w:ascii="仿宋" w:hAnsi="仿宋" w:eastAsia="仿宋" w:cs="仿宋"/>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szCs w:val="21"/>
                <w:lang w:eastAsia="zh-CN"/>
              </w:rPr>
            </w:pPr>
            <w:r>
              <w:rPr>
                <w:rFonts w:hint="eastAsia" w:ascii="仿宋" w:hAnsi="仿宋" w:eastAsia="仿宋" w:cs="仿宋"/>
                <w:kern w:val="0"/>
                <w:sz w:val="21"/>
                <w:szCs w:val="21"/>
                <w:lang w:eastAsia="zh-CN"/>
              </w:rPr>
              <w:t>5G无线测试平台（网络模拟器平台）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kern w:val="0"/>
                <w:szCs w:val="21"/>
              </w:rPr>
            </w:pPr>
          </w:p>
        </w:tc>
      </w:tr>
    </w:tbl>
    <w:p w14:paraId="30DA8BF7">
      <w:pPr>
        <w:numPr>
          <w:ilvl w:val="0"/>
          <w:numId w:val="0"/>
        </w:numPr>
        <w:spacing w:line="360" w:lineRule="auto"/>
        <w:ind w:leftChars="0" w:firstLine="211" w:firstLineChars="100"/>
        <w:rPr>
          <w:rFonts w:hint="eastAsia" w:ascii="仿宋" w:hAnsi="仿宋" w:eastAsia="仿宋" w:cs="仿宋"/>
          <w:b/>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同类采购项目历史成交信息</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包括采购单位、项目名称、编号、成交金额、成交公告截图等</w:t>
      </w:r>
      <w:r>
        <w:rPr>
          <w:rFonts w:hint="eastAsia" w:ascii="仿宋" w:hAnsi="仿宋" w:eastAsia="仿宋" w:cs="仿宋"/>
          <w:b/>
          <w:sz w:val="24"/>
          <w:szCs w:val="24"/>
          <w:lang w:eastAsia="zh-CN"/>
        </w:rPr>
        <w:t>）</w:t>
      </w:r>
      <w:r>
        <w:rPr>
          <w:rFonts w:hint="eastAsia" w:ascii="仿宋" w:hAnsi="仿宋" w:eastAsia="仿宋" w:cs="仿宋"/>
          <w:b/>
          <w:sz w:val="24"/>
          <w:szCs w:val="24"/>
        </w:rPr>
        <w:t>：</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6A5813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szCs w:val="21"/>
                <w:lang w:eastAsia="zh-CN"/>
              </w:rPr>
            </w:pPr>
            <w:r>
              <w:rPr>
                <w:rFonts w:hint="eastAsia" w:ascii="仿宋" w:hAnsi="仿宋" w:eastAsia="仿宋" w:cs="仿宋"/>
                <w:kern w:val="0"/>
                <w:sz w:val="21"/>
                <w:szCs w:val="21"/>
                <w:lang w:eastAsia="zh-CN"/>
              </w:rPr>
              <w:t>5G无线测试平台（网络模拟器平台）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kern w:val="0"/>
                <w:szCs w:val="21"/>
              </w:rPr>
            </w:pPr>
          </w:p>
        </w:tc>
      </w:tr>
    </w:tbl>
    <w:p w14:paraId="56B7E4A8">
      <w:pPr>
        <w:numPr>
          <w:ilvl w:val="0"/>
          <w:numId w:val="0"/>
        </w:numPr>
        <w:spacing w:line="360" w:lineRule="auto"/>
        <w:ind w:leftChars="0"/>
        <w:rPr>
          <w:rFonts w:hint="eastAsia" w:ascii="仿宋" w:hAnsi="仿宋" w:eastAsia="仿宋" w:cs="仿宋"/>
          <w:b/>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可能涉及的后续采购情况：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3D2E9A59">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szCs w:val="21"/>
                <w:lang w:eastAsia="zh-CN"/>
              </w:rPr>
            </w:pPr>
            <w:r>
              <w:rPr>
                <w:rFonts w:hint="eastAsia" w:ascii="仿宋" w:hAnsi="仿宋" w:eastAsia="仿宋" w:cs="仿宋"/>
                <w:kern w:val="0"/>
                <w:sz w:val="21"/>
                <w:szCs w:val="21"/>
                <w:lang w:eastAsia="zh-CN"/>
              </w:rPr>
              <w:t>5G无线测试平台（网络模拟器平台）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kern w:val="0"/>
                <w:szCs w:val="21"/>
              </w:rPr>
            </w:pPr>
          </w:p>
        </w:tc>
      </w:tr>
    </w:tbl>
    <w:p w14:paraId="61291572">
      <w:pPr>
        <w:numPr>
          <w:ilvl w:val="0"/>
          <w:numId w:val="0"/>
        </w:numPr>
        <w:spacing w:line="360" w:lineRule="auto"/>
        <w:ind w:leftChars="0"/>
        <w:rPr>
          <w:rFonts w:hint="eastAsia" w:ascii="仿宋" w:hAnsi="仿宋" w:eastAsia="仿宋" w:cs="仿宋"/>
          <w:b/>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其他相关情况：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kern w:val="0"/>
                <w:szCs w:val="21"/>
              </w:rPr>
            </w:pPr>
            <w:r>
              <w:rPr>
                <w:rFonts w:hint="eastAsia" w:ascii="仿宋" w:hAnsi="仿宋" w:eastAsia="仿宋" w:cs="仿宋"/>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szCs w:val="21"/>
                <w:lang w:eastAsia="zh-CN"/>
              </w:rPr>
            </w:pPr>
            <w:r>
              <w:rPr>
                <w:rFonts w:hint="eastAsia" w:ascii="仿宋" w:hAnsi="仿宋" w:eastAsia="仿宋" w:cs="仿宋"/>
                <w:kern w:val="0"/>
                <w:sz w:val="21"/>
                <w:szCs w:val="21"/>
                <w:lang w:eastAsia="zh-CN"/>
              </w:rPr>
              <w:t>5G无线测试平台（网络模拟器平台）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kern w:val="0"/>
                <w:szCs w:val="21"/>
              </w:rPr>
            </w:pPr>
          </w:p>
        </w:tc>
      </w:tr>
    </w:tbl>
    <w:p w14:paraId="4E33D063">
      <w:pPr>
        <w:spacing w:line="360" w:lineRule="auto"/>
        <w:rPr>
          <w:rFonts w:hint="eastAsia" w:ascii="仿宋" w:hAnsi="仿宋" w:eastAsia="仿宋" w:cs="仿宋"/>
          <w:b/>
        </w:rPr>
      </w:pPr>
    </w:p>
    <w:p w14:paraId="1594CCDE">
      <w:pPr>
        <w:spacing w:line="360" w:lineRule="auto"/>
        <w:rPr>
          <w:rFonts w:hint="eastAsia" w:ascii="仿宋" w:hAnsi="仿宋" w:eastAsia="仿宋" w:cs="仿宋"/>
          <w:szCs w:val="21"/>
        </w:rPr>
      </w:pPr>
      <w:r>
        <w:rPr>
          <w:rFonts w:hint="eastAsia" w:ascii="仿宋" w:hAnsi="仿宋" w:eastAsia="仿宋" w:cs="仿宋"/>
          <w:b/>
          <w:sz w:val="24"/>
          <w:szCs w:val="24"/>
          <w:lang w:val="en-US" w:eastAsia="zh-CN"/>
        </w:rPr>
        <w:t>8、技术商务要求是否合理：</w:t>
      </w:r>
      <w:r>
        <w:rPr>
          <w:rFonts w:hint="eastAsia" w:ascii="仿宋" w:hAnsi="仿宋" w:eastAsia="仿宋" w:cs="仿宋"/>
          <w:sz w:val="24"/>
          <w:szCs w:val="24"/>
          <w:lang w:eastAsia="zh-CN"/>
        </w:rPr>
        <w:t>□</w:t>
      </w:r>
      <w:r>
        <w:rPr>
          <w:rFonts w:hint="eastAsia" w:ascii="仿宋" w:hAnsi="仿宋" w:eastAsia="仿宋" w:cs="仿宋"/>
          <w:sz w:val="24"/>
          <w:szCs w:val="24"/>
        </w:rPr>
        <w:t>是□否（选填下表）</w:t>
      </w:r>
    </w:p>
    <w:p w14:paraId="5CF741B8">
      <w:pPr>
        <w:pStyle w:val="3"/>
        <w:ind w:firstLine="0"/>
        <w:rPr>
          <w:rFonts w:hint="eastAsia" w:ascii="仿宋" w:hAnsi="仿宋" w:eastAsia="仿宋" w:cs="仿宋"/>
        </w:rPr>
      </w:pPr>
      <w:r>
        <w:rPr>
          <w:rFonts w:hint="eastAsia" w:ascii="仿宋" w:hAnsi="仿宋" w:eastAsia="仿宋" w:cs="仿宋"/>
        </w:rPr>
        <w:t>（1）技术要求如下：</w:t>
      </w:r>
    </w:p>
    <w:tbl>
      <w:tblPr>
        <w:tblStyle w:val="7"/>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spacing w:line="36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color w:val="auto"/>
                <w:sz w:val="21"/>
                <w:szCs w:val="21"/>
                <w:lang w:eastAsia="zh-CN"/>
              </w:rPr>
            </w:pPr>
            <w:r>
              <w:rPr>
                <w:rFonts w:hint="eastAsia" w:ascii="仿宋" w:hAnsi="仿宋" w:eastAsia="仿宋" w:cs="仿宋"/>
                <w:color w:val="auto"/>
                <w:kern w:val="0"/>
                <w:sz w:val="21"/>
                <w:szCs w:val="21"/>
                <w:lang w:eastAsia="zh-CN"/>
              </w:rPr>
              <w:t>5G无线测试平台（网络模拟器平台）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01484D3D">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▲1.频率范围380MHz-6GHz；</w:t>
            </w:r>
          </w:p>
          <w:p w14:paraId="4DC7C300">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2.射频通道带宽：≥200MHz；</w:t>
            </w:r>
          </w:p>
          <w:p w14:paraId="0390A66E">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3.发射机：</w:t>
            </w:r>
          </w:p>
          <w:p w14:paraId="5F4D7737">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幅度精度：±0.68dB</w:t>
            </w:r>
            <w:r>
              <w:rPr>
                <w:rFonts w:hint="eastAsia" w:ascii="仿宋" w:hAnsi="仿宋" w:eastAsia="仿宋" w:cs="仿宋"/>
                <w:color w:val="auto"/>
                <w:kern w:val="0"/>
                <w:szCs w:val="21"/>
                <w:lang w:eastAsia="zh-CN"/>
              </w:rPr>
              <w:t>；</w:t>
            </w:r>
          </w:p>
          <w:p w14:paraId="39E36E18">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平坦度：±0.23dB</w:t>
            </w:r>
            <w:r>
              <w:rPr>
                <w:rFonts w:hint="eastAsia" w:ascii="仿宋" w:hAnsi="仿宋" w:eastAsia="仿宋" w:cs="仿宋"/>
                <w:color w:val="auto"/>
                <w:kern w:val="0"/>
                <w:szCs w:val="21"/>
                <w:lang w:eastAsia="zh-CN"/>
              </w:rPr>
              <w:t>；</w:t>
            </w:r>
          </w:p>
          <w:p w14:paraId="650364E2">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宽带噪声：–130dBm/Hz</w:t>
            </w:r>
            <w:r>
              <w:rPr>
                <w:rFonts w:hint="eastAsia" w:ascii="仿宋" w:hAnsi="仿宋" w:eastAsia="仿宋" w:cs="仿宋"/>
                <w:color w:val="auto"/>
                <w:kern w:val="0"/>
                <w:szCs w:val="21"/>
                <w:lang w:eastAsia="zh-CN"/>
              </w:rPr>
              <w:t>；</w:t>
            </w:r>
          </w:p>
          <w:p w14:paraId="4E422DF5">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4.接收机：</w:t>
            </w:r>
          </w:p>
          <w:p w14:paraId="5BE9F382">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幅度精度：±0.43dB</w:t>
            </w:r>
            <w:r>
              <w:rPr>
                <w:rFonts w:hint="eastAsia" w:ascii="仿宋" w:hAnsi="仿宋" w:eastAsia="仿宋" w:cs="仿宋"/>
                <w:color w:val="auto"/>
                <w:kern w:val="0"/>
                <w:szCs w:val="21"/>
                <w:lang w:eastAsia="zh-CN"/>
              </w:rPr>
              <w:t>；</w:t>
            </w:r>
          </w:p>
          <w:p w14:paraId="392FA475">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平坦度：±0.30dB</w:t>
            </w:r>
            <w:r>
              <w:rPr>
                <w:rFonts w:hint="eastAsia" w:ascii="仿宋" w:hAnsi="仿宋" w:eastAsia="仿宋" w:cs="仿宋"/>
                <w:color w:val="auto"/>
                <w:kern w:val="0"/>
                <w:szCs w:val="21"/>
                <w:lang w:eastAsia="zh-CN"/>
              </w:rPr>
              <w:t>；</w:t>
            </w:r>
          </w:p>
          <w:p w14:paraId="73C4FB5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底部噪声：&lt;–150dBm/Hz</w:t>
            </w:r>
            <w:r>
              <w:rPr>
                <w:rFonts w:hint="eastAsia" w:ascii="仿宋" w:hAnsi="仿宋" w:eastAsia="仿宋" w:cs="仿宋"/>
                <w:color w:val="auto"/>
                <w:kern w:val="0"/>
                <w:szCs w:val="21"/>
                <w:lang w:eastAsia="zh-CN"/>
              </w:rPr>
              <w:t>；</w:t>
            </w:r>
          </w:p>
          <w:p w14:paraId="66EBF6F9">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5.最大发射功率34dBm；</w:t>
            </w:r>
          </w:p>
          <w:p w14:paraId="056EA6B9">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▲6.BBIQ基带测试模式可支持最大4CC测试；</w:t>
            </w:r>
          </w:p>
          <w:p w14:paraId="00FEA8C7">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▲7.可升级扩展信道衰落模拟能力，升级支持C-V2X和NR-V2X制式，升级支持NTN测试；</w:t>
            </w:r>
          </w:p>
          <w:p w14:paraId="449D9C28">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8.频率分辨率：100kHz</w:t>
            </w:r>
          </w:p>
          <w:p w14:paraId="6D7C7768">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ascii="仿宋" w:hAnsi="仿宋" w:eastAsia="仿宋" w:cs="仿宋"/>
                <w:color w:val="auto"/>
                <w:kern w:val="0"/>
                <w:szCs w:val="21"/>
              </w:rPr>
              <w:t>9.VSWR</w:t>
            </w:r>
            <w:r>
              <w:rPr>
                <w:rFonts w:hint="eastAsia" w:ascii="仿宋" w:hAnsi="仿宋" w:eastAsia="仿宋" w:cs="仿宋"/>
                <w:color w:val="auto"/>
                <w:kern w:val="0"/>
                <w:szCs w:val="21"/>
                <w:lang w:eastAsia="zh-CN"/>
              </w:rPr>
              <w:t>：</w:t>
            </w:r>
          </w:p>
          <w:p w14:paraId="5AFDC405">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380MHzto600MHz：&lt;1.5nominal</w:t>
            </w:r>
            <w:r>
              <w:rPr>
                <w:rFonts w:hint="eastAsia" w:ascii="仿宋" w:hAnsi="仿宋" w:eastAsia="仿宋" w:cs="仿宋"/>
                <w:color w:val="auto"/>
                <w:kern w:val="0"/>
                <w:szCs w:val="21"/>
                <w:lang w:eastAsia="zh-CN"/>
              </w:rPr>
              <w:t>；</w:t>
            </w:r>
          </w:p>
          <w:p w14:paraId="5455DBBE">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&gt;600MHzto2GHz：&lt;1.3nominal</w:t>
            </w:r>
            <w:r>
              <w:rPr>
                <w:rFonts w:hint="eastAsia" w:ascii="仿宋" w:hAnsi="仿宋" w:eastAsia="仿宋" w:cs="仿宋"/>
                <w:color w:val="auto"/>
                <w:kern w:val="0"/>
                <w:szCs w:val="21"/>
                <w:lang w:eastAsia="zh-CN"/>
              </w:rPr>
              <w:t>；</w:t>
            </w:r>
          </w:p>
          <w:p w14:paraId="7CDBDF63">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&gt;2GHzto4GHz：&lt;1.5nominal</w:t>
            </w:r>
            <w:r>
              <w:rPr>
                <w:rFonts w:hint="eastAsia" w:ascii="仿宋" w:hAnsi="仿宋" w:eastAsia="仿宋" w:cs="仿宋"/>
                <w:color w:val="auto"/>
                <w:kern w:val="0"/>
                <w:szCs w:val="21"/>
                <w:lang w:eastAsia="zh-CN"/>
              </w:rPr>
              <w:t>；</w:t>
            </w:r>
          </w:p>
          <w:p w14:paraId="1A15D13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&gt;4GHzto6GHz：&lt;1.8nominal</w:t>
            </w:r>
            <w:r>
              <w:rPr>
                <w:rFonts w:hint="eastAsia" w:ascii="仿宋" w:hAnsi="仿宋" w:eastAsia="仿宋" w:cs="仿宋"/>
                <w:color w:val="auto"/>
                <w:kern w:val="0"/>
                <w:szCs w:val="21"/>
                <w:lang w:eastAsia="zh-CN"/>
              </w:rPr>
              <w:t>；</w:t>
            </w:r>
          </w:p>
          <w:p w14:paraId="52086613">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10.具有时钟同步接口与帧同步接口，支持系统集成测试；</w:t>
            </w:r>
          </w:p>
          <w:p w14:paraId="2740D619">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11.具有发射/接收端口；</w:t>
            </w:r>
          </w:p>
          <w:p w14:paraId="7D6245D5">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12.通信接口：USB/LAN/GPIB；</w:t>
            </w:r>
          </w:p>
          <w:p w14:paraId="3E1E0AE5">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13.仪表射频端口：N-typefemale,50Ωnominal；</w:t>
            </w:r>
          </w:p>
          <w:p w14:paraId="2194B940">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14.测试系统包含手机测试白卡；</w:t>
            </w:r>
          </w:p>
          <w:p w14:paraId="61939FB8">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15.仪表控制接口：1GbERJ45；</w:t>
            </w:r>
          </w:p>
          <w:p w14:paraId="77633D04">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16.IP业务测试接口：10GbESFP+；</w:t>
            </w:r>
          </w:p>
          <w:p w14:paraId="3528C73A">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17.显示器：≥15寸触摸屏；</w:t>
            </w:r>
          </w:p>
          <w:p w14:paraId="786FD0D0">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18.支持基带测试接口；</w:t>
            </w:r>
          </w:p>
          <w:p w14:paraId="74AAA61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19.支持用户便捷的在GUI界面灵活配置LTE/5G小区，可配置参数多，界面简洁，简单易上手使用；</w:t>
            </w:r>
          </w:p>
          <w:p w14:paraId="51B36566">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20.有详细界面显示UE和仪表的信令交互过程，并且可以在信令和功率测量界面简单切换，查看UE实时发射功率；</w:t>
            </w:r>
          </w:p>
          <w:p w14:paraId="6A45E32D">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21.物理层速率统计清晰简单，提供上下行速率图形统计及表格统计；</w:t>
            </w:r>
          </w:p>
          <w:p w14:paraId="16292F7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▲22.单台5G综测仪可支持LTE、5GNRFR1（NSA/SA）；</w:t>
            </w:r>
          </w:p>
          <w:p w14:paraId="450F5E5F">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▲23.单台仪表支持NR4CC4X4，或LTE4CC+NR2X2；</w:t>
            </w:r>
          </w:p>
          <w:p w14:paraId="79A4306F">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24.可升级扩展信道衰落模拟能力；</w:t>
            </w:r>
          </w:p>
          <w:p w14:paraId="2AE30EEE">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▲25.可升级扩展支持FR2毫米波测试能力；</w:t>
            </w:r>
          </w:p>
          <w:p w14:paraId="63C09CFF">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▲26.支持4G、5Gsub6射频自动化测试；</w:t>
            </w:r>
          </w:p>
          <w:p w14:paraId="6F53C8F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28.可根据客户需求，自行筛选测试频段、信道、调制方式等测试条件，进行灵活测试，也可以按照3GPP进行一键配置测试；</w:t>
            </w:r>
          </w:p>
          <w:p w14:paraId="7C527064">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29.可实现对测试终端的控制，自动进行开关搜网；</w:t>
            </w:r>
          </w:p>
          <w:p w14:paraId="01AEAE7C">
            <w:pPr>
              <w:keepNext w:val="0"/>
              <w:keepLines w:val="0"/>
              <w:pageBreakBefore w:val="0"/>
              <w:widowControl w:val="0"/>
              <w:kinsoku/>
              <w:wordWrap w:val="0"/>
              <w:overflowPunct/>
              <w:topLinePunct w:val="0"/>
              <w:autoSpaceDE/>
              <w:autoSpaceDN/>
              <w:bidi w:val="0"/>
              <w:adjustRightInd/>
              <w:snapToGrid/>
              <w:spacing w:line="360" w:lineRule="exact"/>
              <w:textAlignment w:val="center"/>
              <w:rPr>
                <w:rFonts w:ascii="仿宋" w:hAnsi="仿宋" w:eastAsia="仿宋" w:cs="仿宋"/>
                <w:color w:val="auto"/>
                <w:kern w:val="0"/>
                <w:szCs w:val="21"/>
              </w:rPr>
            </w:pPr>
            <w:r>
              <w:rPr>
                <w:rFonts w:hint="eastAsia" w:ascii="仿宋" w:hAnsi="仿宋" w:eastAsia="仿宋" w:cs="仿宋"/>
                <w:color w:val="auto"/>
                <w:kern w:val="0"/>
                <w:szCs w:val="21"/>
              </w:rPr>
              <w:t>30.提供仪表标准SCPI接口，方便用户定制化开发；</w:t>
            </w:r>
          </w:p>
          <w:p w14:paraId="39C57A0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Cs w:val="21"/>
              </w:rPr>
              <w:t>▲31.内置操作系统，不使用外部PC控制。</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 w:val="21"/>
                <w:szCs w:val="21"/>
              </w:rPr>
            </w:pPr>
          </w:p>
        </w:tc>
      </w:tr>
    </w:tbl>
    <w:p w14:paraId="2B65DD68">
      <w:pPr>
        <w:rPr>
          <w:rFonts w:hint="eastAsia" w:ascii="仿宋" w:hAnsi="仿宋" w:eastAsia="仿宋" w:cs="仿宋"/>
        </w:rPr>
      </w:pPr>
      <w:r>
        <w:rPr>
          <w:rFonts w:hint="eastAsia" w:ascii="仿宋" w:hAnsi="仿宋" w:eastAsia="仿宋" w:cs="仿宋"/>
        </w:rPr>
        <w:br w:type="page"/>
      </w:r>
    </w:p>
    <w:p w14:paraId="1C41AA91">
      <w:pPr>
        <w:spacing w:line="360" w:lineRule="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）商务要求如下：</w:t>
      </w:r>
    </w:p>
    <w:tbl>
      <w:tblPr>
        <w:tblStyle w:val="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商务项</w:t>
            </w:r>
          </w:p>
        </w:tc>
        <w:tc>
          <w:tcPr>
            <w:tcW w:w="5443" w:type="dxa"/>
            <w:vAlign w:val="center"/>
          </w:tcPr>
          <w:p w14:paraId="6CF895F2">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商务要求</w:t>
            </w:r>
          </w:p>
        </w:tc>
        <w:tc>
          <w:tcPr>
            <w:tcW w:w="3088" w:type="dxa"/>
            <w:vAlign w:val="center"/>
          </w:tcPr>
          <w:p w14:paraId="095BB7FD">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rPr>
              <w:t>质保期</w:t>
            </w:r>
          </w:p>
        </w:tc>
        <w:tc>
          <w:tcPr>
            <w:tcW w:w="5443" w:type="dxa"/>
            <w:vAlign w:val="center"/>
          </w:tcPr>
          <w:p w14:paraId="18578BB4">
            <w:pPr>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highlight w:val="none"/>
              </w:rPr>
              <w:t>按国家有关产品“三包”规定执行“三包”，保期不少于</w:t>
            </w:r>
            <w:r>
              <w:rPr>
                <w:rFonts w:hint="eastAsia" w:ascii="仿宋" w:hAnsi="仿宋" w:eastAsia="仿宋" w:cs="仿宋"/>
                <w:color w:val="auto"/>
                <w:sz w:val="21"/>
                <w:szCs w:val="21"/>
                <w:highlight w:val="green"/>
              </w:rPr>
              <w:t>3年</w:t>
            </w:r>
            <w:r>
              <w:rPr>
                <w:rFonts w:hint="eastAsia" w:ascii="仿宋" w:hAnsi="仿宋" w:eastAsia="仿宋" w:cs="仿宋"/>
                <w:color w:val="auto"/>
                <w:sz w:val="21"/>
                <w:szCs w:val="21"/>
                <w:highlight w:val="none"/>
              </w:rPr>
              <w:t>（设备技术要求栏中有特别注明的除外），保修期内上门维修免收维修费和元器件费，并提供终身维修服务。</w:t>
            </w:r>
          </w:p>
        </w:tc>
        <w:tc>
          <w:tcPr>
            <w:tcW w:w="3088" w:type="dxa"/>
          </w:tcPr>
          <w:p w14:paraId="7268D9EE">
            <w:pPr>
              <w:spacing w:line="360" w:lineRule="exact"/>
              <w:rPr>
                <w:rFonts w:hint="eastAsia" w:ascii="仿宋" w:hAnsi="仿宋" w:eastAsia="仿宋" w:cs="仿宋"/>
                <w:color w:val="auto"/>
                <w:szCs w:val="21"/>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rPr>
              <w:t>售后及技术服务要求</w:t>
            </w:r>
          </w:p>
        </w:tc>
        <w:tc>
          <w:tcPr>
            <w:tcW w:w="5443" w:type="dxa"/>
            <w:vAlign w:val="center"/>
          </w:tcPr>
          <w:p w14:paraId="2D908C7E">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highlight w:val="none"/>
              </w:rPr>
              <w:t>3、提供保修期外零配件优惠供应方案。</w:t>
            </w:r>
          </w:p>
        </w:tc>
        <w:tc>
          <w:tcPr>
            <w:tcW w:w="3088" w:type="dxa"/>
          </w:tcPr>
          <w:p w14:paraId="1AAE2E79">
            <w:pPr>
              <w:spacing w:line="360" w:lineRule="exact"/>
              <w:rPr>
                <w:rFonts w:hint="eastAsia" w:ascii="仿宋" w:hAnsi="仿宋" w:eastAsia="仿宋" w:cs="仿宋"/>
                <w:color w:val="auto"/>
                <w:szCs w:val="21"/>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交货时间及地点</w:t>
            </w:r>
          </w:p>
        </w:tc>
        <w:tc>
          <w:tcPr>
            <w:tcW w:w="5443" w:type="dxa"/>
            <w:vAlign w:val="center"/>
          </w:tcPr>
          <w:p w14:paraId="15E9F625">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交货期：自签订合同之日起</w:t>
            </w:r>
            <w:r>
              <w:rPr>
                <w:rFonts w:hint="eastAsia" w:ascii="仿宋" w:hAnsi="仿宋" w:eastAsia="仿宋" w:cs="仿宋"/>
                <w:color w:val="auto"/>
                <w:sz w:val="21"/>
                <w:szCs w:val="21"/>
                <w:highlight w:val="none"/>
                <w:u w:val="single"/>
              </w:rPr>
              <w:t>1</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0个工作日内</w:t>
            </w:r>
            <w:r>
              <w:rPr>
                <w:rFonts w:hint="eastAsia" w:ascii="仿宋" w:hAnsi="仿宋" w:eastAsia="仿宋" w:cs="仿宋"/>
                <w:color w:val="auto"/>
                <w:sz w:val="21"/>
                <w:szCs w:val="21"/>
                <w:highlight w:val="none"/>
              </w:rPr>
              <w:t>必须到货，并全部安装调试合格完毕；</w:t>
            </w:r>
          </w:p>
          <w:p w14:paraId="08C43A5D">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交货地点：广西桂林市采购人指定地点</w:t>
            </w:r>
          </w:p>
        </w:tc>
        <w:tc>
          <w:tcPr>
            <w:tcW w:w="3088" w:type="dxa"/>
          </w:tcPr>
          <w:p w14:paraId="5667F816">
            <w:pPr>
              <w:spacing w:line="360" w:lineRule="exact"/>
              <w:rPr>
                <w:rFonts w:hint="eastAsia" w:ascii="仿宋" w:hAnsi="仿宋" w:eastAsia="仿宋" w:cs="仿宋"/>
                <w:color w:val="auto"/>
                <w:szCs w:val="21"/>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68" w:type="dxa"/>
            <w:vAlign w:val="center"/>
          </w:tcPr>
          <w:p w14:paraId="0ED9C4A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5443" w:type="dxa"/>
            <w:vAlign w:val="center"/>
          </w:tcPr>
          <w:p w14:paraId="66ACC712">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Cs w:val="21"/>
                <w:highlight w:val="none"/>
              </w:rPr>
              <w:t>100%信用证,90%凭发货方发货单据支付，10%验收合格后凭采购方验收报告20日内付清（无息）</w:t>
            </w:r>
            <w:r>
              <w:rPr>
                <w:rFonts w:hint="eastAsia" w:ascii="仿宋" w:hAnsi="仿宋" w:eastAsia="仿宋" w:cs="仿宋"/>
                <w:color w:val="auto"/>
                <w:szCs w:val="21"/>
                <w:highlight w:val="none"/>
                <w:lang w:eastAsia="zh-CN"/>
              </w:rPr>
              <w:t>。</w:t>
            </w:r>
          </w:p>
        </w:tc>
        <w:tc>
          <w:tcPr>
            <w:tcW w:w="3088" w:type="dxa"/>
          </w:tcPr>
          <w:p w14:paraId="02B00075">
            <w:pPr>
              <w:spacing w:line="360" w:lineRule="exact"/>
              <w:rPr>
                <w:rFonts w:hint="eastAsia" w:ascii="仿宋" w:hAnsi="仿宋" w:eastAsia="仿宋" w:cs="仿宋"/>
                <w:color w:val="auto"/>
                <w:szCs w:val="21"/>
                <w:highlight w:val="green"/>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40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rPr>
              <w:t>报价要求</w:t>
            </w:r>
          </w:p>
        </w:tc>
        <w:tc>
          <w:tcPr>
            <w:tcW w:w="5443" w:type="dxa"/>
            <w:vAlign w:val="center"/>
          </w:tcPr>
          <w:p w14:paraId="21F9B30E">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投标人的报价为采购人指定地点的现场交货价，包括：</w:t>
            </w:r>
          </w:p>
          <w:p w14:paraId="3E750E7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（1）货物的价格；</w:t>
            </w:r>
          </w:p>
          <w:p w14:paraId="12712DFB">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（2）货物的标准附件、备品备件、专用工具的价格；</w:t>
            </w:r>
          </w:p>
          <w:p w14:paraId="5B3A7B3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（3）运输、装卸、调试、培训、技术支持、人工、上门服务、售后服务等费用；</w:t>
            </w:r>
          </w:p>
          <w:p w14:paraId="01304096">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（4）必要的保险费用和各项税费；</w:t>
            </w:r>
          </w:p>
          <w:p w14:paraId="2CD5CF99">
            <w:pPr>
              <w:spacing w:line="400" w:lineRule="exact"/>
              <w:rPr>
                <w:rFonts w:hint="eastAsia" w:ascii="仿宋" w:hAnsi="仿宋" w:eastAsia="仿宋" w:cs="仿宋"/>
                <w:color w:val="auto"/>
                <w:sz w:val="21"/>
                <w:szCs w:val="21"/>
              </w:rPr>
            </w:pPr>
            <w:r>
              <w:rPr>
                <w:rFonts w:hint="eastAsia" w:ascii="仿宋" w:hAnsi="仿宋" w:eastAsia="仿宋" w:cs="仿宋"/>
                <w:bCs/>
                <w:color w:val="auto"/>
                <w:sz w:val="21"/>
                <w:szCs w:val="21"/>
                <w:highlight w:val="none"/>
              </w:rPr>
              <w:t>（5）安装调试费用；以及合同明示或暗示的所有责任、义务和一般风险等一切费用。</w:t>
            </w:r>
          </w:p>
        </w:tc>
        <w:tc>
          <w:tcPr>
            <w:tcW w:w="3088" w:type="dxa"/>
          </w:tcPr>
          <w:p w14:paraId="2781CEC5">
            <w:pPr>
              <w:spacing w:line="360" w:lineRule="exact"/>
              <w:rPr>
                <w:rFonts w:hint="eastAsia" w:ascii="仿宋" w:hAnsi="仿宋" w:eastAsia="仿宋" w:cs="仿宋"/>
                <w:bCs/>
                <w:color w:val="auto"/>
                <w:szCs w:val="21"/>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3A3242F1">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rPr>
              <w:t>验收要求</w:t>
            </w:r>
          </w:p>
        </w:tc>
        <w:tc>
          <w:tcPr>
            <w:tcW w:w="5443" w:type="dxa"/>
            <w:vAlign w:val="center"/>
          </w:tcPr>
          <w:p w14:paraId="0D103C1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4、验收方式和验收材料要求</w:t>
            </w:r>
          </w:p>
          <w:p w14:paraId="3D2A6A6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（1）采购人在项目完成且收到中标供应商验收申请后5个工作日内组织开展履约验收；</w:t>
            </w:r>
          </w:p>
          <w:p w14:paraId="1BC0AC6F">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spacing w:line="400" w:lineRule="exact"/>
              <w:rPr>
                <w:rFonts w:hint="eastAsia" w:ascii="仿宋" w:hAnsi="仿宋" w:eastAsia="仿宋" w:cs="仿宋"/>
                <w:color w:val="auto"/>
                <w:sz w:val="21"/>
                <w:szCs w:val="21"/>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须在中标通知书发出后、合同签订前，向采购人提供所投产品的原厂售后服务承诺书原件，承诺质保期不低于3年，未能在采购人书面通知的合理期限（如5个工作日）内提供的，视为</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无正当理由放弃中标资格或拒不签订合同，采购人有权取消其中标资格，并依据招标文件及《民法典》第五百七十七条追究其缔约过失责任或违约责任，包括但不限于：赔偿采购人因此遭受的损失（包括但不限于重新采购的成本、重新采购中标价与原中标价的差额等），同时将相关情况报送财政部门。</w:t>
            </w:r>
          </w:p>
        </w:tc>
        <w:tc>
          <w:tcPr>
            <w:tcW w:w="3088" w:type="dxa"/>
          </w:tcPr>
          <w:p w14:paraId="3082944F">
            <w:pPr>
              <w:spacing w:line="360" w:lineRule="exact"/>
              <w:rPr>
                <w:rFonts w:hint="eastAsia" w:ascii="仿宋" w:hAnsi="仿宋" w:eastAsia="仿宋" w:cs="仿宋"/>
                <w:bCs/>
                <w:color w:val="auto"/>
                <w:szCs w:val="21"/>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rPr>
              <w:t>履约保证金收取及退付</w:t>
            </w:r>
          </w:p>
        </w:tc>
        <w:tc>
          <w:tcPr>
            <w:tcW w:w="5443" w:type="dxa"/>
            <w:vAlign w:val="center"/>
          </w:tcPr>
          <w:p w14:paraId="5FFFF151">
            <w:pPr>
              <w:numPr>
                <w:ilvl w:val="0"/>
                <w:numId w:val="1"/>
              </w:num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履约保证金收取</w:t>
            </w:r>
            <w:r>
              <w:rPr>
                <w:rFonts w:hint="eastAsia" w:ascii="仿宋" w:hAnsi="仿宋" w:eastAsia="仿宋" w:cs="仿宋"/>
                <w:color w:val="auto"/>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rPr>
              <w:t>履约保证金退付</w:t>
            </w:r>
            <w:r>
              <w:rPr>
                <w:rFonts w:hint="eastAsia" w:ascii="仿宋" w:hAnsi="仿宋" w:eastAsia="仿宋" w:cs="仿宋"/>
                <w:color w:val="auto"/>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3、履约保证金递交方式：</w:t>
            </w:r>
            <w:r>
              <w:rPr>
                <w:rFonts w:hint="eastAsia" w:ascii="仿宋" w:hAnsi="仿宋" w:eastAsia="仿宋" w:cs="仿宋"/>
                <w:color w:val="auto"/>
                <w:sz w:val="21"/>
                <w:szCs w:val="21"/>
                <w:highlight w:val="none"/>
              </w:rPr>
              <w:t>支票、汇票、本票等非现金方式。由中标供应商在签订合同前按规定的金额直接缴入以下采购人账户。凭履约保证金缴纳凭证签订合同。</w:t>
            </w:r>
          </w:p>
          <w:p w14:paraId="1C3AFDC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开户名称：桂林电子科技大学</w:t>
            </w:r>
          </w:p>
          <w:p w14:paraId="1AA445F1">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开户银行：桂林市工商银行屏风支行</w:t>
            </w:r>
          </w:p>
          <w:p w14:paraId="1EDDD284">
            <w:pPr>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highlight w:val="none"/>
              </w:rPr>
              <w:t>银行账号：2103215209249017694</w:t>
            </w:r>
          </w:p>
        </w:tc>
        <w:tc>
          <w:tcPr>
            <w:tcW w:w="3088" w:type="dxa"/>
          </w:tcPr>
          <w:p w14:paraId="5E045B68">
            <w:pPr>
              <w:spacing w:line="360" w:lineRule="exact"/>
              <w:rPr>
                <w:rFonts w:hint="eastAsia" w:ascii="仿宋" w:hAnsi="仿宋" w:eastAsia="仿宋" w:cs="仿宋"/>
                <w:bCs/>
                <w:color w:val="auto"/>
                <w:szCs w:val="21"/>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spacing w:line="40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rPr>
              <w:t>其他要求</w:t>
            </w:r>
          </w:p>
        </w:tc>
        <w:tc>
          <w:tcPr>
            <w:tcW w:w="5443" w:type="dxa"/>
            <w:vAlign w:val="center"/>
          </w:tcPr>
          <w:p w14:paraId="2DC608C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2、本项目货物涉及的产品及其配件包括但不限于各类芯片等必须符合国家有关政策规定，不得使用国家禁止使用范围内的产品及其配件，否则投标无效。</w:t>
            </w:r>
          </w:p>
          <w:p w14:paraId="18F4EE4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4、若供应商为本项目标的及标的涉及的相关材料、设备、人员、运输等购买保险的，相关费用由供应商自行承担。</w:t>
            </w:r>
          </w:p>
          <w:p w14:paraId="63816D3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
              </w:rPr>
              <w:t>5、</w:t>
            </w:r>
            <w:r>
              <w:rPr>
                <w:rFonts w:hint="eastAsia" w:ascii="仿宋" w:hAnsi="仿宋" w:eastAsia="仿宋" w:cs="仿宋"/>
                <w:color w:val="auto"/>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6、要求供应商以及所投产品生产厂家均具有良好的商业信誉，未在信用中国或中国政府采购网被列入失信名单。</w:t>
            </w:r>
          </w:p>
          <w:p w14:paraId="3F01180F">
            <w:pPr>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7、本项目已进行进口产品申报，接受进口产品参与投标（即通过中国海关报关验放进入中国境内且产自关境外的产品）。</w:t>
            </w:r>
          </w:p>
          <w:p w14:paraId="6D7C99A0">
            <w:pPr>
              <w:spacing w:line="400" w:lineRule="exact"/>
              <w:rPr>
                <w:rFonts w:hint="eastAsia" w:ascii="仿宋" w:hAnsi="仿宋" w:eastAsia="仿宋" w:cs="仿宋"/>
                <w:color w:val="auto"/>
                <w:sz w:val="21"/>
                <w:szCs w:val="21"/>
              </w:rPr>
            </w:pPr>
            <w:r>
              <w:rPr>
                <w:rFonts w:hint="eastAsia" w:ascii="仿宋" w:hAnsi="仿宋" w:eastAsia="仿宋" w:cs="仿宋"/>
                <w:color w:val="auto"/>
                <w:sz w:val="21"/>
                <w:szCs w:val="21"/>
                <w:highlight w:val="none"/>
              </w:rPr>
              <w:t>8、本项目采购预算金额（人民币）：</w:t>
            </w:r>
            <w:r>
              <w:rPr>
                <w:rFonts w:hint="eastAsia" w:ascii="仿宋" w:hAnsi="仿宋" w:eastAsia="仿宋" w:cs="仿宋"/>
                <w:color w:val="auto"/>
                <w:sz w:val="21"/>
                <w:szCs w:val="21"/>
                <w:highlight w:val="none"/>
                <w:lang w:val="en-US" w:eastAsia="zh-CN"/>
              </w:rPr>
              <w:t>贰佰玖拾陆万元整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2960000.00</w:t>
            </w:r>
            <w:r>
              <w:rPr>
                <w:rFonts w:hint="eastAsia" w:ascii="仿宋" w:hAnsi="仿宋" w:eastAsia="仿宋" w:cs="仿宋"/>
                <w:color w:val="auto"/>
                <w:sz w:val="21"/>
                <w:szCs w:val="21"/>
                <w:highlight w:val="none"/>
              </w:rPr>
              <w:t>.00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spacing w:line="360" w:lineRule="exact"/>
              <w:rPr>
                <w:rFonts w:hint="eastAsia" w:ascii="仿宋" w:hAnsi="仿宋" w:eastAsia="仿宋" w:cs="仿宋"/>
                <w:bCs/>
                <w:color w:val="auto"/>
                <w:szCs w:val="21"/>
              </w:rPr>
            </w:pPr>
          </w:p>
        </w:tc>
      </w:tr>
    </w:tbl>
    <w:p w14:paraId="2E117051">
      <w:pPr>
        <w:pStyle w:val="3"/>
        <w:rPr>
          <w:rFonts w:hint="eastAsia" w:ascii="仿宋" w:hAnsi="仿宋" w:eastAsia="仿宋" w:cs="仿宋"/>
        </w:rPr>
      </w:pPr>
    </w:p>
    <w:p w14:paraId="135CB864">
      <w:pPr>
        <w:spacing w:line="360" w:lineRule="auto"/>
        <w:jc w:val="right"/>
        <w:rPr>
          <w:rFonts w:hint="eastAsia" w:ascii="仿宋" w:hAnsi="仿宋" w:eastAsia="仿宋" w:cs="仿宋"/>
        </w:rPr>
      </w:pPr>
    </w:p>
    <w:p w14:paraId="4E112B81">
      <w:pPr>
        <w:spacing w:line="360" w:lineRule="auto"/>
        <w:jc w:val="right"/>
        <w:rPr>
          <w:rFonts w:hint="eastAsia" w:ascii="仿宋" w:hAnsi="仿宋" w:eastAsia="仿宋" w:cs="仿宋"/>
        </w:rPr>
      </w:pPr>
    </w:p>
    <w:p w14:paraId="2328715A">
      <w:pPr>
        <w:spacing w:line="360" w:lineRule="auto"/>
        <w:jc w:val="right"/>
        <w:rPr>
          <w:rFonts w:hint="eastAsia" w:ascii="仿宋" w:hAnsi="仿宋" w:eastAsia="仿宋" w:cs="仿宋"/>
        </w:rPr>
      </w:pPr>
      <w:r>
        <w:rPr>
          <w:rFonts w:hint="eastAsia" w:ascii="仿宋" w:hAnsi="仿宋" w:eastAsia="仿宋" w:cs="仿宋"/>
        </w:rPr>
        <w:t>调查机构：广西科文招标有限公司</w:t>
      </w:r>
    </w:p>
    <w:p w14:paraId="4A864426">
      <w:pPr>
        <w:spacing w:line="360" w:lineRule="auto"/>
        <w:jc w:val="right"/>
        <w:rPr>
          <w:rFonts w:hint="default"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val="en-US" w:eastAsia="zh-CN"/>
        </w:rPr>
        <w:t>李工</w:t>
      </w:r>
      <w:r>
        <w:rPr>
          <w:rFonts w:hint="eastAsia" w:ascii="仿宋" w:hAnsi="仿宋" w:eastAsia="仿宋" w:cs="仿宋"/>
        </w:rPr>
        <w:t>，联系电话：077</w:t>
      </w:r>
      <w:r>
        <w:rPr>
          <w:rFonts w:hint="eastAsia" w:ascii="仿宋" w:hAnsi="仿宋" w:eastAsia="仿宋" w:cs="仿宋"/>
          <w:lang w:val="en-US" w:eastAsia="zh-CN"/>
        </w:rPr>
        <w:t>3-7593227</w:t>
      </w:r>
    </w:p>
    <w:p w14:paraId="120966B8">
      <w:pPr>
        <w:pStyle w:val="3"/>
        <w:jc w:val="right"/>
        <w:rPr>
          <w:rFonts w:hint="eastAsia" w:ascii="仿宋" w:hAnsi="仿宋" w:eastAsia="仿宋" w:cs="仿宋"/>
          <w:lang w:val="en-US" w:eastAsia="zh-CN"/>
        </w:rPr>
      </w:pPr>
      <w:r>
        <w:rPr>
          <w:rFonts w:hint="eastAsia" w:ascii="仿宋" w:hAnsi="仿宋" w:eastAsia="仿宋" w:cs="仿宋"/>
          <w:lang w:val="en-US" w:eastAsia="zh-CN"/>
        </w:rPr>
        <w:t>发布日期：2026年6月23日</w:t>
      </w:r>
    </w:p>
    <w:p w14:paraId="7C98E5F1">
      <w:pPr>
        <w:spacing w:line="400" w:lineRule="exact"/>
        <w:jc w:val="center"/>
        <w:rPr>
          <w:rFonts w:hint="eastAsia" w:ascii="仿宋" w:hAnsi="仿宋" w:eastAsia="仿宋" w:cs="仿宋"/>
          <w:b/>
          <w:bCs/>
          <w:sz w:val="24"/>
          <w:szCs w:val="21"/>
        </w:rPr>
      </w:pPr>
    </w:p>
    <w:p w14:paraId="3B6D7A80">
      <w:pPr>
        <w:spacing w:line="360" w:lineRule="exact"/>
        <w:jc w:val="left"/>
        <w:rPr>
          <w:rFonts w:hint="eastAsia" w:ascii="仿宋" w:hAnsi="仿宋" w:eastAsia="仿宋" w:cs="仿宋"/>
          <w:szCs w:val="21"/>
        </w:rPr>
      </w:pPr>
      <w:r>
        <w:rPr>
          <w:rFonts w:hint="eastAsia" w:ascii="仿宋" w:hAnsi="仿宋" w:eastAsia="仿宋" w:cs="仿宋"/>
          <w:szCs w:val="21"/>
        </w:rPr>
        <w:t>填表说明：</w:t>
      </w:r>
    </w:p>
    <w:p w14:paraId="360EAE11">
      <w:pPr>
        <w:spacing w:line="360" w:lineRule="exact"/>
        <w:jc w:val="left"/>
        <w:rPr>
          <w:rFonts w:hint="eastAsia" w:ascii="仿宋" w:hAnsi="仿宋" w:eastAsia="仿宋" w:cs="仿宋"/>
          <w:szCs w:val="21"/>
        </w:rPr>
      </w:pPr>
      <w:r>
        <w:rPr>
          <w:rFonts w:hint="eastAsia" w:ascii="仿宋" w:hAnsi="仿宋" w:eastAsia="仿宋" w:cs="仿宋"/>
          <w:szCs w:val="21"/>
        </w:rPr>
        <w:t>1.调查问卷回复时间截止：202</w:t>
      </w:r>
      <w:r>
        <w:rPr>
          <w:rFonts w:hint="eastAsia" w:ascii="仿宋" w:hAnsi="仿宋" w:eastAsia="仿宋" w:cs="仿宋"/>
          <w:szCs w:val="21"/>
          <w:lang w:val="en-US" w:eastAsia="zh-CN"/>
        </w:rPr>
        <w:t>6</w:t>
      </w:r>
      <w:r>
        <w:rPr>
          <w:rFonts w:hint="eastAsia" w:ascii="仿宋" w:hAnsi="仿宋" w:eastAsia="仿宋" w:cs="仿宋"/>
          <w:szCs w:val="21"/>
        </w:rPr>
        <w:t>年</w:t>
      </w:r>
      <w:r>
        <w:rPr>
          <w:rFonts w:hint="eastAsia" w:ascii="仿宋" w:hAnsi="仿宋" w:eastAsia="仿宋" w:cs="仿宋"/>
          <w:szCs w:val="21"/>
          <w:lang w:val="en-US" w:eastAsia="zh-CN"/>
        </w:rPr>
        <w:t>6</w:t>
      </w:r>
      <w:r>
        <w:rPr>
          <w:rFonts w:hint="eastAsia" w:ascii="仿宋" w:hAnsi="仿宋" w:eastAsia="仿宋" w:cs="仿宋"/>
          <w:szCs w:val="21"/>
        </w:rPr>
        <w:t>月</w:t>
      </w:r>
      <w:r>
        <w:rPr>
          <w:rFonts w:hint="eastAsia" w:ascii="仿宋" w:hAnsi="仿宋" w:eastAsia="仿宋" w:cs="仿宋"/>
          <w:szCs w:val="21"/>
          <w:lang w:val="en-US" w:eastAsia="zh-CN"/>
        </w:rPr>
        <w:t>30</w:t>
      </w:r>
      <w:r>
        <w:rPr>
          <w:rFonts w:hint="eastAsia" w:ascii="仿宋" w:hAnsi="仿宋" w:eastAsia="仿宋" w:cs="仿宋"/>
          <w:szCs w:val="21"/>
        </w:rPr>
        <w:t>日18:00之前，回复接收邮箱：</w:t>
      </w:r>
      <w:r>
        <w:rPr>
          <w:rFonts w:hint="eastAsia" w:ascii="仿宋" w:hAnsi="仿宋" w:eastAsia="仿宋" w:cs="仿宋"/>
        </w:rPr>
        <w:fldChar w:fldCharType="begin"/>
      </w:r>
      <w:r>
        <w:rPr>
          <w:rFonts w:hint="eastAsia" w:ascii="仿宋" w:hAnsi="仿宋" w:eastAsia="仿宋" w:cs="仿宋"/>
        </w:rPr>
        <w:instrText xml:space="preserve"> HYPERLINK "mailto:2357709502@qq.com" </w:instrText>
      </w:r>
      <w:r>
        <w:rPr>
          <w:rFonts w:hint="eastAsia" w:ascii="仿宋" w:hAnsi="仿宋" w:eastAsia="仿宋" w:cs="仿宋"/>
        </w:rPr>
        <w:fldChar w:fldCharType="separate"/>
      </w:r>
      <w:r>
        <w:rPr>
          <w:rStyle w:val="11"/>
          <w:rFonts w:hint="eastAsia" w:ascii="仿宋" w:hAnsi="仿宋" w:eastAsia="仿宋" w:cs="仿宋"/>
          <w:szCs w:val="21"/>
          <w:lang w:val="en-US" w:eastAsia="zh-CN"/>
        </w:rPr>
        <w:t>540023229</w:t>
      </w:r>
      <w:r>
        <w:rPr>
          <w:rStyle w:val="11"/>
          <w:rFonts w:hint="eastAsia" w:ascii="仿宋" w:hAnsi="仿宋" w:eastAsia="仿宋" w:cs="仿宋"/>
          <w:szCs w:val="21"/>
        </w:rPr>
        <w:t>@qq.com</w:t>
      </w:r>
      <w:r>
        <w:rPr>
          <w:rStyle w:val="11"/>
          <w:rFonts w:hint="eastAsia" w:ascii="仿宋" w:hAnsi="仿宋" w:eastAsia="仿宋" w:cs="仿宋"/>
          <w:szCs w:val="21"/>
        </w:rPr>
        <w:fldChar w:fldCharType="end"/>
      </w:r>
      <w:r>
        <w:rPr>
          <w:rFonts w:hint="eastAsia" w:ascii="仿宋" w:hAnsi="仿宋" w:eastAsia="仿宋" w:cs="仿宋"/>
          <w:szCs w:val="21"/>
        </w:rPr>
        <w:t>。</w:t>
      </w:r>
    </w:p>
    <w:p w14:paraId="196AA1B8">
      <w:pPr>
        <w:spacing w:line="360" w:lineRule="exact"/>
        <w:jc w:val="left"/>
        <w:rPr>
          <w:rFonts w:hint="eastAsia" w:ascii="仿宋" w:hAnsi="仿宋" w:eastAsia="仿宋" w:cs="仿宋"/>
          <w:szCs w:val="21"/>
          <w:lang w:eastAsia="zh-CN"/>
        </w:rPr>
      </w:pPr>
      <w:r>
        <w:rPr>
          <w:rFonts w:hint="eastAsia" w:ascii="仿宋" w:hAnsi="仿宋" w:eastAsia="仿宋" w:cs="仿宋"/>
          <w:szCs w:val="21"/>
        </w:rPr>
        <w:t>2.本问卷仅需提供盖公章的PDF文件1份和可修改WORD文件1份。（问卷回复必须加盖单位公章，填写联系人）</w:t>
      </w:r>
      <w:r>
        <w:rPr>
          <w:rFonts w:hint="eastAsia" w:ascii="仿宋" w:hAnsi="仿宋" w:eastAsia="仿宋" w:cs="仿宋"/>
          <w:szCs w:val="21"/>
          <w:lang w:eastAsia="zh-CN"/>
        </w:rPr>
        <w:t>。</w:t>
      </w:r>
    </w:p>
    <w:p w14:paraId="37C065A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left="0" w:right="0" w:firstLine="0"/>
        <w:jc w:val="right"/>
        <w:outlineLvl w:val="9"/>
        <w:rPr>
          <w:rFonts w:hint="eastAsia" w:ascii="仿宋" w:hAnsi="仿宋" w:eastAsia="仿宋" w:cs="仿宋"/>
          <w:i w:val="0"/>
          <w:iCs w:val="0"/>
          <w:caps w:val="0"/>
          <w:color w:val="000000"/>
          <w:spacing w:val="0"/>
          <w:sz w:val="24"/>
          <w:szCs w:val="24"/>
          <w:shd w:val="clear" w:fill="FFFFFF"/>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Tc5MThiYTY4MWNlNzFmNGMwMTJhZGU2MDY4NTAifQ=="/>
  </w:docVars>
  <w:rsids>
    <w:rsidRoot w:val="1029275C"/>
    <w:rsid w:val="04920422"/>
    <w:rsid w:val="08C72115"/>
    <w:rsid w:val="0AC16709"/>
    <w:rsid w:val="1029275C"/>
    <w:rsid w:val="15173B3C"/>
    <w:rsid w:val="17BF07C9"/>
    <w:rsid w:val="1F3B1B5F"/>
    <w:rsid w:val="20EC05EC"/>
    <w:rsid w:val="237C3518"/>
    <w:rsid w:val="3039239B"/>
    <w:rsid w:val="35746B78"/>
    <w:rsid w:val="3C1A012A"/>
    <w:rsid w:val="3C220B66"/>
    <w:rsid w:val="40A109F6"/>
    <w:rsid w:val="44F64BFB"/>
    <w:rsid w:val="47F87D95"/>
    <w:rsid w:val="4AB42FC6"/>
    <w:rsid w:val="57DB3F7B"/>
    <w:rsid w:val="5B890BD0"/>
    <w:rsid w:val="687940D8"/>
    <w:rsid w:val="6B444222"/>
    <w:rsid w:val="748C428E"/>
    <w:rsid w:val="74B90B5D"/>
    <w:rsid w:val="78F50A48"/>
    <w:rsid w:val="7CF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4291</Words>
  <Characters>4791</Characters>
  <Lines>0</Lines>
  <Paragraphs>0</Paragraphs>
  <TotalTime>0</TotalTime>
  <ScaleCrop>false</ScaleCrop>
  <LinksUpToDate>false</LinksUpToDate>
  <CharactersWithSpaces>4805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Administrator</cp:lastModifiedBy>
  <dcterms:modified xsi:type="dcterms:W3CDTF">2026-06-23T03:07:25Z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705E87CF5FF448E3AB01C3C6B86955BE_13</vt:lpwstr>
  </property>
  <property fmtid="{D5CDD505-2E9C-101B-9397-08002B2CF9AE}" pid="4" name="KSOTemplateDocerSaveRecord">
    <vt:lpwstr>eyJoZGlkIjoiMjg3MDkwMDBmOWYxNWM2MGFhZDFiZWE0NzI1Y2Q2MDciLCJ1c2VySWQiOiIxMTg0MzM2NDk5In0=</vt:lpwstr>
  </property>
</Properties>
</file>