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66CE">
      <w:pPr>
        <w:jc w:val="center"/>
        <w:rPr>
          <w:rFonts w:hint="eastAsia" w:ascii="仿宋" w:hAnsi="仿宋" w:eastAsia="仿宋" w:cs="仿宋"/>
          <w:b/>
          <w:color w:val="auto"/>
          <w:sz w:val="28"/>
          <w:szCs w:val="28"/>
          <w:highlight w:val="none"/>
        </w:rPr>
      </w:pPr>
      <w:bookmarkStart w:id="0" w:name="_GoBack"/>
      <w:bookmarkEnd w:id="0"/>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关于</w:t>
      </w:r>
      <w:r>
        <w:rPr>
          <w:rFonts w:hint="eastAsia" w:ascii="仿宋" w:hAnsi="仿宋" w:eastAsia="仿宋" w:cs="仿宋"/>
          <w:b/>
          <w:color w:val="auto"/>
          <w:sz w:val="28"/>
          <w:szCs w:val="28"/>
          <w:highlight w:val="none"/>
          <w:lang w:eastAsia="zh-CN"/>
        </w:rPr>
        <w:t>通信自动化研发与测试系统（PCT测试环境）、宽带无线电通信测试仪采购</w:t>
      </w:r>
      <w:r>
        <w:rPr>
          <w:rFonts w:hint="eastAsia" w:ascii="仿宋" w:hAnsi="仿宋" w:eastAsia="仿宋" w:cs="仿宋"/>
          <w:b/>
          <w:color w:val="auto"/>
          <w:sz w:val="28"/>
          <w:szCs w:val="28"/>
          <w:highlight w:val="none"/>
        </w:rPr>
        <w:t>问卷调查表</w:t>
      </w:r>
    </w:p>
    <w:p w14:paraId="426574E3">
      <w:pPr>
        <w:spacing w:line="360" w:lineRule="auto"/>
        <w:rPr>
          <w:rFonts w:hint="eastAsia" w:ascii="仿宋" w:hAnsi="仿宋" w:eastAsia="仿宋" w:cs="仿宋"/>
          <w:color w:val="auto"/>
          <w:highlight w:val="none"/>
        </w:rPr>
      </w:pPr>
    </w:p>
    <w:p w14:paraId="04677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参与调查供应商名称（单位盖章）：</w:t>
      </w:r>
    </w:p>
    <w:p w14:paraId="012C2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64E9A9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联系电话：</w:t>
      </w:r>
    </w:p>
    <w:p w14:paraId="40820E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填表日期：      年    月    日</w:t>
      </w:r>
    </w:p>
    <w:p w14:paraId="61AF73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p>
    <w:p w14:paraId="4634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广西科文招标有限公司受</w:t>
      </w:r>
      <w:r>
        <w:rPr>
          <w:rFonts w:hint="eastAsia" w:ascii="仿宋" w:hAnsi="仿宋" w:eastAsia="仿宋" w:cs="仿宋"/>
          <w:i w:val="0"/>
          <w:iCs w:val="0"/>
          <w:caps w:val="0"/>
          <w:color w:val="auto"/>
          <w:spacing w:val="0"/>
          <w:sz w:val="24"/>
          <w:szCs w:val="24"/>
          <w:highlight w:val="none"/>
          <w:shd w:val="clear" w:fill="FFFFFF"/>
          <w:lang w:val="en-US" w:eastAsia="zh-CN"/>
        </w:rPr>
        <w:t>桂林电子科技大学</w:t>
      </w:r>
      <w:r>
        <w:rPr>
          <w:rFonts w:hint="eastAsia" w:ascii="仿宋" w:hAnsi="仿宋" w:eastAsia="仿宋" w:cs="仿宋"/>
          <w:color w:val="auto"/>
          <w:sz w:val="24"/>
          <w:szCs w:val="24"/>
          <w:highlight w:val="none"/>
        </w:rPr>
        <w:t>委托组织对</w:t>
      </w:r>
      <w:r>
        <w:rPr>
          <w:rFonts w:hint="eastAsia" w:ascii="仿宋" w:hAnsi="仿宋" w:eastAsia="仿宋" w:cs="仿宋"/>
          <w:color w:val="auto"/>
          <w:sz w:val="24"/>
          <w:szCs w:val="24"/>
          <w:highlight w:val="none"/>
          <w:lang w:eastAsia="zh-CN"/>
        </w:rPr>
        <w:t>“通信自动化研发与测试系统（PCT测试环境）、宽带无线电通信测试仪”</w:t>
      </w:r>
      <w:r>
        <w:rPr>
          <w:rFonts w:hint="eastAsia" w:ascii="仿宋" w:hAnsi="仿宋" w:eastAsia="仿宋" w:cs="仿宋"/>
          <w:color w:val="auto"/>
          <w:sz w:val="24"/>
          <w:szCs w:val="24"/>
          <w:highlight w:val="none"/>
        </w:rPr>
        <w:t>需求及采购实施计划编制，现向各供应商进行本次问卷调查，调查内容如下：</w:t>
      </w:r>
    </w:p>
    <w:p w14:paraId="3F57B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1、参与本项目招标的意向：</w:t>
      </w:r>
      <w:r>
        <w:rPr>
          <w:rFonts w:hint="eastAsia" w:ascii="仿宋" w:hAnsi="仿宋" w:eastAsia="仿宋" w:cs="仿宋"/>
          <w:color w:val="auto"/>
          <w:sz w:val="24"/>
          <w:szCs w:val="24"/>
          <w:highlight w:val="none"/>
        </w:rPr>
        <w:t>□想参加□未定，理由：</w:t>
      </w:r>
    </w:p>
    <w:p w14:paraId="52CAE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p>
    <w:p w14:paraId="59191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2、标的预算是否合理：</w:t>
      </w:r>
      <w:r>
        <w:rPr>
          <w:rFonts w:hint="eastAsia" w:ascii="仿宋" w:hAnsi="仿宋" w:eastAsia="仿宋" w:cs="仿宋"/>
          <w:color w:val="auto"/>
          <w:sz w:val="24"/>
          <w:szCs w:val="24"/>
          <w:highlight w:val="none"/>
        </w:rPr>
        <w:t>□是□否（选填下表）</w:t>
      </w:r>
    </w:p>
    <w:tbl>
      <w:tblPr>
        <w:tblStyle w:val="7"/>
        <w:tblW w:w="9435" w:type="dxa"/>
        <w:jc w:val="center"/>
        <w:tblLayout w:type="fixed"/>
        <w:tblCellMar>
          <w:top w:w="0" w:type="dxa"/>
          <w:left w:w="108" w:type="dxa"/>
          <w:bottom w:w="0" w:type="dxa"/>
          <w:right w:w="108" w:type="dxa"/>
        </w:tblCellMar>
      </w:tblPr>
      <w:tblGrid>
        <w:gridCol w:w="486"/>
        <w:gridCol w:w="1587"/>
        <w:gridCol w:w="659"/>
        <w:gridCol w:w="677"/>
        <w:gridCol w:w="1314"/>
        <w:gridCol w:w="1913"/>
        <w:gridCol w:w="2079"/>
        <w:gridCol w:w="720"/>
      </w:tblGrid>
      <w:tr w14:paraId="0E203369">
        <w:tblPrEx>
          <w:tblCellMar>
            <w:top w:w="0" w:type="dxa"/>
            <w:left w:w="108" w:type="dxa"/>
            <w:bottom w:w="0" w:type="dxa"/>
            <w:right w:w="108" w:type="dxa"/>
          </w:tblCellMar>
        </w:tblPrEx>
        <w:trPr>
          <w:trHeight w:val="946"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58042C6">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1587" w:type="dxa"/>
            <w:tcBorders>
              <w:top w:val="single" w:color="000000" w:sz="4" w:space="0"/>
              <w:left w:val="single" w:color="000000" w:sz="4" w:space="0"/>
              <w:bottom w:val="single" w:color="000000" w:sz="4" w:space="0"/>
              <w:right w:val="single" w:color="auto" w:sz="4" w:space="0"/>
            </w:tcBorders>
            <w:noWrap/>
            <w:vAlign w:val="center"/>
          </w:tcPr>
          <w:p w14:paraId="72C756B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659" w:type="dxa"/>
            <w:tcBorders>
              <w:top w:val="single" w:color="000000" w:sz="4" w:space="0"/>
              <w:left w:val="single" w:color="auto" w:sz="4" w:space="0"/>
              <w:bottom w:val="single" w:color="000000" w:sz="4" w:space="0"/>
              <w:right w:val="single" w:color="auto" w:sz="4" w:space="0"/>
            </w:tcBorders>
            <w:vAlign w:val="center"/>
          </w:tcPr>
          <w:p w14:paraId="00E788A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677" w:type="dxa"/>
            <w:tcBorders>
              <w:top w:val="single" w:color="000000" w:sz="4" w:space="0"/>
              <w:left w:val="single" w:color="auto" w:sz="4" w:space="0"/>
              <w:bottom w:val="single" w:color="000000" w:sz="4" w:space="0"/>
              <w:right w:val="single" w:color="auto" w:sz="4" w:space="0"/>
            </w:tcBorders>
            <w:noWrap/>
            <w:vAlign w:val="center"/>
          </w:tcPr>
          <w:p w14:paraId="3214B041">
            <w:pPr>
              <w:spacing w:line="360" w:lineRule="exact"/>
              <w:jc w:val="center"/>
              <w:textAlignment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单位</w:t>
            </w:r>
          </w:p>
        </w:tc>
        <w:tc>
          <w:tcPr>
            <w:tcW w:w="1314" w:type="dxa"/>
            <w:tcBorders>
              <w:top w:val="single" w:color="000000" w:sz="4" w:space="0"/>
              <w:left w:val="single" w:color="auto" w:sz="4" w:space="0"/>
              <w:bottom w:val="single" w:color="000000" w:sz="4" w:space="0"/>
              <w:right w:val="single" w:color="auto" w:sz="4" w:space="0"/>
            </w:tcBorders>
            <w:noWrap/>
            <w:vAlign w:val="center"/>
          </w:tcPr>
          <w:p w14:paraId="4501C4A9">
            <w:pPr>
              <w:spacing w:line="360" w:lineRule="exact"/>
              <w:jc w:val="center"/>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预算价</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元</w:t>
            </w:r>
            <w:r>
              <w:rPr>
                <w:rFonts w:hint="eastAsia" w:ascii="仿宋" w:hAnsi="仿宋" w:eastAsia="仿宋" w:cs="仿宋"/>
                <w:color w:val="auto"/>
                <w:kern w:val="0"/>
                <w:szCs w:val="21"/>
                <w:highlight w:val="none"/>
                <w:lang w:eastAsia="zh-CN"/>
              </w:rPr>
              <w:t>）</w:t>
            </w:r>
          </w:p>
        </w:tc>
        <w:tc>
          <w:tcPr>
            <w:tcW w:w="1913" w:type="dxa"/>
            <w:tcBorders>
              <w:top w:val="single" w:color="000000" w:sz="4" w:space="0"/>
              <w:left w:val="single" w:color="auto" w:sz="4" w:space="0"/>
              <w:bottom w:val="single" w:color="000000" w:sz="4" w:space="0"/>
              <w:right w:val="single" w:color="000000" w:sz="4" w:space="0"/>
            </w:tcBorders>
            <w:noWrap/>
            <w:vAlign w:val="center"/>
          </w:tcPr>
          <w:p w14:paraId="71C5816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认为合理的价格</w:t>
            </w:r>
          </w:p>
          <w:p w14:paraId="50338CF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（供应商选填）</w:t>
            </w:r>
          </w:p>
        </w:tc>
        <w:tc>
          <w:tcPr>
            <w:tcW w:w="2079" w:type="dxa"/>
            <w:tcBorders>
              <w:top w:val="single" w:color="000000" w:sz="4" w:space="0"/>
              <w:left w:val="single" w:color="000000" w:sz="4" w:space="0"/>
              <w:bottom w:val="single" w:color="000000" w:sz="4" w:space="0"/>
              <w:right w:val="single" w:color="auto" w:sz="4" w:space="0"/>
            </w:tcBorders>
            <w:noWrap/>
            <w:vAlign w:val="center"/>
          </w:tcPr>
          <w:p w14:paraId="60BD7FA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认为预算不合理的理由（供应商选填）</w:t>
            </w:r>
          </w:p>
        </w:tc>
        <w:tc>
          <w:tcPr>
            <w:tcW w:w="720" w:type="dxa"/>
            <w:tcBorders>
              <w:top w:val="single" w:color="000000" w:sz="4" w:space="0"/>
              <w:left w:val="single" w:color="auto" w:sz="4" w:space="0"/>
              <w:bottom w:val="single" w:color="000000" w:sz="4" w:space="0"/>
              <w:right w:val="single" w:color="000000" w:sz="4" w:space="0"/>
            </w:tcBorders>
            <w:noWrap/>
            <w:vAlign w:val="center"/>
          </w:tcPr>
          <w:p w14:paraId="01ED206A">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01463B77">
        <w:tblPrEx>
          <w:tblCellMar>
            <w:top w:w="0" w:type="dxa"/>
            <w:left w:w="108" w:type="dxa"/>
            <w:bottom w:w="0" w:type="dxa"/>
            <w:right w:w="108" w:type="dxa"/>
          </w:tblCellMar>
        </w:tblPrEx>
        <w:trPr>
          <w:trHeight w:val="1067" w:hRule="atLeast"/>
          <w:jc w:val="center"/>
        </w:trPr>
        <w:tc>
          <w:tcPr>
            <w:tcW w:w="486" w:type="dxa"/>
            <w:tcBorders>
              <w:top w:val="single" w:color="auto" w:sz="4" w:space="0"/>
              <w:left w:val="single" w:color="auto" w:sz="4" w:space="0"/>
              <w:bottom w:val="single" w:color="auto" w:sz="4" w:space="0"/>
              <w:right w:val="single" w:color="auto" w:sz="4" w:space="0"/>
            </w:tcBorders>
            <w:noWrap/>
            <w:vAlign w:val="center"/>
          </w:tcPr>
          <w:p w14:paraId="30D8EF6E">
            <w:pPr>
              <w:spacing w:line="360" w:lineRule="exact"/>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w:t>
            </w:r>
          </w:p>
        </w:tc>
        <w:tc>
          <w:tcPr>
            <w:tcW w:w="1587" w:type="dxa"/>
            <w:tcBorders>
              <w:top w:val="single" w:color="auto" w:sz="4" w:space="0"/>
              <w:left w:val="single" w:color="auto" w:sz="4" w:space="0"/>
              <w:bottom w:val="single" w:color="auto" w:sz="4" w:space="0"/>
              <w:right w:val="single" w:color="auto" w:sz="4" w:space="0"/>
            </w:tcBorders>
            <w:noWrap/>
            <w:vAlign w:val="center"/>
          </w:tcPr>
          <w:p w14:paraId="3C8DE6CA">
            <w:pPr>
              <w:keepNext w:val="0"/>
              <w:keepLines w:val="0"/>
              <w:widowControl/>
              <w:suppressLineNumbers w:val="0"/>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通信自动化研发与测试系统（PCT测试环境）、</w:t>
            </w:r>
          </w:p>
        </w:tc>
        <w:tc>
          <w:tcPr>
            <w:tcW w:w="659" w:type="dxa"/>
            <w:tcBorders>
              <w:top w:val="single" w:color="auto" w:sz="4" w:space="0"/>
              <w:left w:val="single" w:color="auto" w:sz="4" w:space="0"/>
              <w:bottom w:val="single" w:color="auto" w:sz="4" w:space="0"/>
              <w:right w:val="single" w:color="auto" w:sz="4" w:space="0"/>
            </w:tcBorders>
            <w:vAlign w:val="center"/>
          </w:tcPr>
          <w:p w14:paraId="6067E4AC">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677" w:type="dxa"/>
            <w:tcBorders>
              <w:top w:val="single" w:color="auto" w:sz="4" w:space="0"/>
              <w:left w:val="single" w:color="auto" w:sz="4" w:space="0"/>
              <w:bottom w:val="single" w:color="auto" w:sz="4" w:space="0"/>
              <w:right w:val="single" w:color="auto" w:sz="4" w:space="0"/>
            </w:tcBorders>
            <w:noWrap/>
            <w:vAlign w:val="center"/>
          </w:tcPr>
          <w:p w14:paraId="3D01C754">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套</w:t>
            </w:r>
          </w:p>
        </w:tc>
        <w:tc>
          <w:tcPr>
            <w:tcW w:w="1314" w:type="dxa"/>
            <w:tcBorders>
              <w:top w:val="single" w:color="auto" w:sz="4" w:space="0"/>
              <w:left w:val="single" w:color="auto" w:sz="4" w:space="0"/>
              <w:bottom w:val="single" w:color="auto" w:sz="4" w:space="0"/>
              <w:right w:val="single" w:color="auto" w:sz="4" w:space="0"/>
            </w:tcBorders>
            <w:noWrap/>
            <w:vAlign w:val="center"/>
          </w:tcPr>
          <w:p w14:paraId="13D36927">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3586540.00</w:t>
            </w:r>
          </w:p>
        </w:tc>
        <w:tc>
          <w:tcPr>
            <w:tcW w:w="1913" w:type="dxa"/>
            <w:tcBorders>
              <w:top w:val="single" w:color="auto" w:sz="4" w:space="0"/>
              <w:left w:val="single" w:color="auto" w:sz="4" w:space="0"/>
              <w:bottom w:val="single" w:color="auto" w:sz="4" w:space="0"/>
              <w:right w:val="single" w:color="auto" w:sz="4" w:space="0"/>
            </w:tcBorders>
            <w:noWrap/>
            <w:vAlign w:val="center"/>
          </w:tcPr>
          <w:p w14:paraId="57DA0EDB">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p>
        </w:tc>
        <w:tc>
          <w:tcPr>
            <w:tcW w:w="2079" w:type="dxa"/>
            <w:tcBorders>
              <w:top w:val="single" w:color="auto" w:sz="4" w:space="0"/>
              <w:left w:val="single" w:color="auto" w:sz="4" w:space="0"/>
              <w:bottom w:val="single" w:color="auto" w:sz="4" w:space="0"/>
              <w:right w:val="single" w:color="auto" w:sz="4" w:space="0"/>
            </w:tcBorders>
            <w:noWrap/>
            <w:vAlign w:val="center"/>
          </w:tcPr>
          <w:p w14:paraId="6BD71AD0">
            <w:pPr>
              <w:jc w:val="center"/>
              <w:rPr>
                <w:rFonts w:hint="eastAsia" w:ascii="仿宋" w:hAnsi="仿宋" w:eastAsia="仿宋" w:cs="仿宋"/>
                <w:color w:val="auto"/>
                <w:szCs w:val="21"/>
                <w:highlight w:val="none"/>
              </w:rPr>
            </w:pPr>
          </w:p>
        </w:tc>
        <w:tc>
          <w:tcPr>
            <w:tcW w:w="720" w:type="dxa"/>
            <w:tcBorders>
              <w:top w:val="single" w:color="000000" w:sz="4" w:space="0"/>
              <w:left w:val="single" w:color="auto" w:sz="4" w:space="0"/>
              <w:bottom w:val="single" w:color="000000" w:sz="4" w:space="0"/>
              <w:right w:val="single" w:color="000000" w:sz="4" w:space="0"/>
            </w:tcBorders>
            <w:noWrap/>
            <w:vAlign w:val="center"/>
          </w:tcPr>
          <w:p w14:paraId="21A062EE">
            <w:pPr>
              <w:spacing w:line="360" w:lineRule="exact"/>
              <w:jc w:val="center"/>
              <w:textAlignment w:val="center"/>
              <w:rPr>
                <w:rFonts w:hint="eastAsia" w:ascii="仿宋" w:hAnsi="仿宋" w:eastAsia="仿宋" w:cs="仿宋"/>
                <w:color w:val="auto"/>
                <w:kern w:val="0"/>
                <w:szCs w:val="21"/>
                <w:highlight w:val="none"/>
              </w:rPr>
            </w:pPr>
          </w:p>
        </w:tc>
      </w:tr>
      <w:tr w14:paraId="162473CD">
        <w:tblPrEx>
          <w:tblCellMar>
            <w:top w:w="0" w:type="dxa"/>
            <w:left w:w="108" w:type="dxa"/>
            <w:bottom w:w="0" w:type="dxa"/>
            <w:right w:w="108" w:type="dxa"/>
          </w:tblCellMar>
        </w:tblPrEx>
        <w:trPr>
          <w:trHeight w:val="1067" w:hRule="atLeast"/>
          <w:jc w:val="center"/>
        </w:trPr>
        <w:tc>
          <w:tcPr>
            <w:tcW w:w="486" w:type="dxa"/>
            <w:tcBorders>
              <w:top w:val="single" w:color="auto" w:sz="4" w:space="0"/>
              <w:left w:val="single" w:color="auto" w:sz="4" w:space="0"/>
              <w:bottom w:val="single" w:color="auto" w:sz="4" w:space="0"/>
              <w:right w:val="single" w:color="auto" w:sz="4" w:space="0"/>
            </w:tcBorders>
            <w:noWrap/>
            <w:vAlign w:val="center"/>
          </w:tcPr>
          <w:p w14:paraId="254D1539">
            <w:pPr>
              <w:spacing w:line="360" w:lineRule="exact"/>
              <w:jc w:val="center"/>
              <w:textAlignment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1587" w:type="dxa"/>
            <w:tcBorders>
              <w:top w:val="single" w:color="auto" w:sz="4" w:space="0"/>
              <w:left w:val="single" w:color="auto" w:sz="4" w:space="0"/>
              <w:bottom w:val="single" w:color="auto" w:sz="4" w:space="0"/>
              <w:right w:val="single" w:color="auto" w:sz="4" w:space="0"/>
            </w:tcBorders>
            <w:noWrap/>
            <w:vAlign w:val="center"/>
          </w:tcPr>
          <w:p w14:paraId="6EAE425D">
            <w:pPr>
              <w:keepNext w:val="0"/>
              <w:keepLines w:val="0"/>
              <w:widowControl/>
              <w:suppressLineNumbers w:val="0"/>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宽带无线电通信测试仪</w:t>
            </w:r>
          </w:p>
        </w:tc>
        <w:tc>
          <w:tcPr>
            <w:tcW w:w="659" w:type="dxa"/>
            <w:tcBorders>
              <w:top w:val="single" w:color="auto" w:sz="4" w:space="0"/>
              <w:left w:val="single" w:color="auto" w:sz="4" w:space="0"/>
              <w:bottom w:val="single" w:color="auto" w:sz="4" w:space="0"/>
              <w:right w:val="single" w:color="auto" w:sz="4" w:space="0"/>
            </w:tcBorders>
            <w:vAlign w:val="center"/>
          </w:tcPr>
          <w:p w14:paraId="7F66A9A4">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p>
        </w:tc>
        <w:tc>
          <w:tcPr>
            <w:tcW w:w="677" w:type="dxa"/>
            <w:tcBorders>
              <w:top w:val="single" w:color="auto" w:sz="4" w:space="0"/>
              <w:left w:val="single" w:color="auto" w:sz="4" w:space="0"/>
              <w:bottom w:val="single" w:color="auto" w:sz="4" w:space="0"/>
              <w:right w:val="single" w:color="auto" w:sz="4" w:space="0"/>
            </w:tcBorders>
            <w:noWrap/>
            <w:vAlign w:val="center"/>
          </w:tcPr>
          <w:p w14:paraId="1E5AAAA1">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台</w:t>
            </w:r>
          </w:p>
        </w:tc>
        <w:tc>
          <w:tcPr>
            <w:tcW w:w="1314" w:type="dxa"/>
            <w:tcBorders>
              <w:top w:val="single" w:color="auto" w:sz="4" w:space="0"/>
              <w:left w:val="single" w:color="auto" w:sz="4" w:space="0"/>
              <w:bottom w:val="single" w:color="auto" w:sz="4" w:space="0"/>
              <w:right w:val="single" w:color="auto" w:sz="4" w:space="0"/>
            </w:tcBorders>
            <w:noWrap/>
            <w:vAlign w:val="center"/>
          </w:tcPr>
          <w:p w14:paraId="6089F135">
            <w:pPr>
              <w:keepNext w:val="0"/>
              <w:keepLines w:val="0"/>
              <w:widowControl/>
              <w:suppressLineNumbers w:val="0"/>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728460.00</w:t>
            </w:r>
          </w:p>
        </w:tc>
        <w:tc>
          <w:tcPr>
            <w:tcW w:w="1913" w:type="dxa"/>
            <w:tcBorders>
              <w:top w:val="single" w:color="auto" w:sz="4" w:space="0"/>
              <w:left w:val="single" w:color="auto" w:sz="4" w:space="0"/>
              <w:bottom w:val="single" w:color="auto" w:sz="4" w:space="0"/>
              <w:right w:val="single" w:color="auto" w:sz="4" w:space="0"/>
            </w:tcBorders>
            <w:noWrap/>
            <w:vAlign w:val="center"/>
          </w:tcPr>
          <w:p w14:paraId="7D4C48F2">
            <w:pPr>
              <w:keepNext w:val="0"/>
              <w:keepLines w:val="0"/>
              <w:widowControl/>
              <w:suppressLineNumbers w:val="0"/>
              <w:jc w:val="center"/>
              <w:textAlignment w:val="center"/>
              <w:rPr>
                <w:rFonts w:hint="eastAsia" w:ascii="仿宋" w:hAnsi="仿宋" w:eastAsia="仿宋" w:cs="仿宋"/>
                <w:color w:val="auto"/>
                <w:kern w:val="0"/>
                <w:sz w:val="21"/>
                <w:szCs w:val="21"/>
                <w:highlight w:val="none"/>
              </w:rPr>
            </w:pPr>
          </w:p>
        </w:tc>
        <w:tc>
          <w:tcPr>
            <w:tcW w:w="2079" w:type="dxa"/>
            <w:tcBorders>
              <w:top w:val="single" w:color="auto" w:sz="4" w:space="0"/>
              <w:left w:val="single" w:color="auto" w:sz="4" w:space="0"/>
              <w:bottom w:val="single" w:color="auto" w:sz="4" w:space="0"/>
              <w:right w:val="single" w:color="auto" w:sz="4" w:space="0"/>
            </w:tcBorders>
            <w:noWrap/>
            <w:vAlign w:val="center"/>
          </w:tcPr>
          <w:p w14:paraId="56A87354">
            <w:pPr>
              <w:jc w:val="center"/>
              <w:rPr>
                <w:rFonts w:hint="eastAsia" w:ascii="仿宋" w:hAnsi="仿宋" w:eastAsia="仿宋" w:cs="仿宋"/>
                <w:color w:val="auto"/>
                <w:szCs w:val="21"/>
                <w:highlight w:val="none"/>
              </w:rPr>
            </w:pPr>
          </w:p>
        </w:tc>
        <w:tc>
          <w:tcPr>
            <w:tcW w:w="720" w:type="dxa"/>
            <w:tcBorders>
              <w:top w:val="single" w:color="000000" w:sz="4" w:space="0"/>
              <w:left w:val="single" w:color="auto" w:sz="4" w:space="0"/>
              <w:bottom w:val="single" w:color="000000" w:sz="4" w:space="0"/>
              <w:right w:val="single" w:color="000000" w:sz="4" w:space="0"/>
            </w:tcBorders>
            <w:noWrap/>
            <w:vAlign w:val="center"/>
          </w:tcPr>
          <w:p w14:paraId="0A777357">
            <w:pPr>
              <w:spacing w:line="360" w:lineRule="exact"/>
              <w:jc w:val="center"/>
              <w:textAlignment w:val="center"/>
              <w:rPr>
                <w:rFonts w:hint="eastAsia" w:ascii="仿宋" w:hAnsi="仿宋" w:eastAsia="仿宋" w:cs="仿宋"/>
                <w:color w:val="auto"/>
                <w:kern w:val="0"/>
                <w:szCs w:val="21"/>
                <w:highlight w:val="none"/>
              </w:rPr>
            </w:pPr>
          </w:p>
        </w:tc>
      </w:tr>
    </w:tbl>
    <w:p w14:paraId="2DEC8249">
      <w:pPr>
        <w:spacing w:line="360" w:lineRule="auto"/>
        <w:rPr>
          <w:rFonts w:hint="eastAsia" w:ascii="仿宋" w:hAnsi="仿宋" w:eastAsia="仿宋" w:cs="仿宋"/>
          <w:b/>
          <w:color w:val="auto"/>
          <w:szCs w:val="21"/>
          <w:highlight w:val="none"/>
        </w:rPr>
      </w:pPr>
    </w:p>
    <w:p w14:paraId="1A1498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相关产业发展情况：</w:t>
      </w:r>
    </w:p>
    <w:tbl>
      <w:tblPr>
        <w:tblStyle w:val="7"/>
        <w:tblW w:w="9339" w:type="dxa"/>
        <w:jc w:val="center"/>
        <w:tblLayout w:type="fixed"/>
        <w:tblCellMar>
          <w:top w:w="0" w:type="dxa"/>
          <w:left w:w="108" w:type="dxa"/>
          <w:bottom w:w="0" w:type="dxa"/>
          <w:right w:w="108" w:type="dxa"/>
        </w:tblCellMar>
      </w:tblPr>
      <w:tblGrid>
        <w:gridCol w:w="486"/>
        <w:gridCol w:w="2575"/>
        <w:gridCol w:w="5201"/>
        <w:gridCol w:w="1077"/>
      </w:tblGrid>
      <w:tr w14:paraId="4EF20C3F">
        <w:tblPrEx>
          <w:tblCellMar>
            <w:top w:w="0" w:type="dxa"/>
            <w:left w:w="108" w:type="dxa"/>
            <w:bottom w:w="0" w:type="dxa"/>
            <w:right w:w="108" w:type="dxa"/>
          </w:tblCellMar>
        </w:tblPrEx>
        <w:trPr>
          <w:trHeight w:val="823"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66C6D1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3FBB711">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5F17ADE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相关产业发展情况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92D84B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3F6BCE84">
        <w:tblPrEx>
          <w:tblCellMar>
            <w:top w:w="0" w:type="dxa"/>
            <w:left w:w="108" w:type="dxa"/>
            <w:bottom w:w="0" w:type="dxa"/>
            <w:right w:w="108" w:type="dxa"/>
          </w:tblCellMar>
        </w:tblPrEx>
        <w:trPr>
          <w:trHeight w:val="75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1322F135">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EAC7598">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通信自动化研发与测试系统（PCT测试环境）</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154D6CFF">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A1AF28A">
            <w:pPr>
              <w:spacing w:line="360" w:lineRule="exact"/>
              <w:jc w:val="center"/>
              <w:textAlignment w:val="center"/>
              <w:rPr>
                <w:rFonts w:hint="eastAsia" w:ascii="仿宋" w:hAnsi="仿宋" w:eastAsia="仿宋" w:cs="仿宋"/>
                <w:color w:val="auto"/>
                <w:kern w:val="0"/>
                <w:szCs w:val="21"/>
                <w:highlight w:val="none"/>
              </w:rPr>
            </w:pPr>
          </w:p>
        </w:tc>
      </w:tr>
      <w:tr w14:paraId="49F85FB3">
        <w:tblPrEx>
          <w:tblCellMar>
            <w:top w:w="0" w:type="dxa"/>
            <w:left w:w="108" w:type="dxa"/>
            <w:bottom w:w="0" w:type="dxa"/>
            <w:right w:w="108" w:type="dxa"/>
          </w:tblCellMar>
        </w:tblPrEx>
        <w:trPr>
          <w:trHeight w:val="759"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B3D891">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628EE464">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宽带无线电通信测试仪</w:t>
            </w:r>
          </w:p>
        </w:tc>
        <w:tc>
          <w:tcPr>
            <w:tcW w:w="5201" w:type="dxa"/>
            <w:tcBorders>
              <w:top w:val="single" w:color="000000" w:sz="4" w:space="0"/>
              <w:left w:val="single" w:color="000000" w:sz="4" w:space="0"/>
              <w:bottom w:val="single" w:color="000000" w:sz="4" w:space="0"/>
              <w:right w:val="single" w:color="auto" w:sz="4" w:space="0"/>
            </w:tcBorders>
            <w:noWrap/>
            <w:vAlign w:val="center"/>
          </w:tcPr>
          <w:p w14:paraId="3202C7E6">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48F76E03">
            <w:pPr>
              <w:spacing w:line="360" w:lineRule="exact"/>
              <w:jc w:val="center"/>
              <w:textAlignment w:val="center"/>
              <w:rPr>
                <w:rFonts w:hint="eastAsia" w:ascii="仿宋" w:hAnsi="仿宋" w:eastAsia="仿宋" w:cs="仿宋"/>
                <w:color w:val="auto"/>
                <w:kern w:val="0"/>
                <w:szCs w:val="21"/>
                <w:highlight w:val="none"/>
              </w:rPr>
            </w:pPr>
          </w:p>
        </w:tc>
      </w:tr>
    </w:tbl>
    <w:p w14:paraId="3358FB63">
      <w:pPr>
        <w:numPr>
          <w:ilvl w:val="0"/>
          <w:numId w:val="0"/>
        </w:numPr>
        <w:spacing w:line="360" w:lineRule="auto"/>
        <w:rPr>
          <w:rFonts w:hint="eastAsia" w:ascii="仿宋" w:hAnsi="仿宋" w:eastAsia="仿宋" w:cs="仿宋"/>
          <w:b/>
          <w:color w:val="auto"/>
          <w:highlight w:val="none"/>
          <w:lang w:val="en-US" w:eastAsia="zh-CN"/>
        </w:rPr>
      </w:pPr>
    </w:p>
    <w:p w14:paraId="0F55F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市场供给情况：</w:t>
      </w:r>
    </w:p>
    <w:tbl>
      <w:tblPr>
        <w:tblStyle w:val="7"/>
        <w:tblW w:w="9318" w:type="dxa"/>
        <w:jc w:val="center"/>
        <w:tblLayout w:type="fixed"/>
        <w:tblCellMar>
          <w:top w:w="0" w:type="dxa"/>
          <w:left w:w="108" w:type="dxa"/>
          <w:bottom w:w="0" w:type="dxa"/>
          <w:right w:w="108" w:type="dxa"/>
        </w:tblCellMar>
      </w:tblPr>
      <w:tblGrid>
        <w:gridCol w:w="485"/>
        <w:gridCol w:w="2569"/>
        <w:gridCol w:w="5189"/>
        <w:gridCol w:w="1075"/>
      </w:tblGrid>
      <w:tr w14:paraId="4CA17F5A">
        <w:tblPrEx>
          <w:tblCellMar>
            <w:top w:w="0" w:type="dxa"/>
            <w:left w:w="108" w:type="dxa"/>
            <w:bottom w:w="0" w:type="dxa"/>
            <w:right w:w="108" w:type="dxa"/>
          </w:tblCellMar>
        </w:tblPrEx>
        <w:trPr>
          <w:trHeight w:val="895"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2B0995B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33B4909D">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F19E266">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highlight w:val="none"/>
                <w:lang w:val="en-US" w:eastAsia="zh-CN"/>
              </w:rPr>
              <w:t>市场供给情况</w:t>
            </w: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0D6E02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246D0922">
        <w:tblPrEx>
          <w:tblCellMar>
            <w:top w:w="0" w:type="dxa"/>
            <w:left w:w="108" w:type="dxa"/>
            <w:bottom w:w="0" w:type="dxa"/>
            <w:right w:w="108" w:type="dxa"/>
          </w:tblCellMar>
        </w:tblPrEx>
        <w:trPr>
          <w:trHeight w:val="80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3F729FD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56A12364">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通信自动化研发与测试系统（PCT测试环境）</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619BA26C">
            <w:pPr>
              <w:jc w:val="center"/>
              <w:rPr>
                <w:rFonts w:hint="eastAsia" w:ascii="仿宋" w:hAnsi="仿宋" w:eastAsia="仿宋" w:cs="仿宋"/>
                <w:color w:val="auto"/>
                <w:szCs w:val="21"/>
                <w:highlight w:val="none"/>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6AD993B3">
            <w:pPr>
              <w:spacing w:line="360" w:lineRule="exact"/>
              <w:jc w:val="center"/>
              <w:textAlignment w:val="center"/>
              <w:rPr>
                <w:rFonts w:hint="eastAsia" w:ascii="仿宋" w:hAnsi="仿宋" w:eastAsia="仿宋" w:cs="仿宋"/>
                <w:color w:val="auto"/>
                <w:kern w:val="0"/>
                <w:szCs w:val="21"/>
                <w:highlight w:val="none"/>
              </w:rPr>
            </w:pPr>
          </w:p>
        </w:tc>
      </w:tr>
      <w:tr w14:paraId="39C719EA">
        <w:tblPrEx>
          <w:tblCellMar>
            <w:top w:w="0" w:type="dxa"/>
            <w:left w:w="108" w:type="dxa"/>
            <w:bottom w:w="0" w:type="dxa"/>
            <w:right w:w="108" w:type="dxa"/>
          </w:tblCellMar>
        </w:tblPrEx>
        <w:trPr>
          <w:trHeight w:val="803" w:hRule="atLeast"/>
          <w:jc w:val="center"/>
        </w:trPr>
        <w:tc>
          <w:tcPr>
            <w:tcW w:w="485" w:type="dxa"/>
            <w:tcBorders>
              <w:top w:val="single" w:color="000000" w:sz="4" w:space="0"/>
              <w:left w:val="single" w:color="000000" w:sz="4" w:space="0"/>
              <w:bottom w:val="single" w:color="000000" w:sz="4" w:space="0"/>
              <w:right w:val="single" w:color="000000" w:sz="4" w:space="0"/>
            </w:tcBorders>
            <w:noWrap/>
            <w:vAlign w:val="center"/>
          </w:tcPr>
          <w:p w14:paraId="768A251E">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69" w:type="dxa"/>
            <w:tcBorders>
              <w:top w:val="single" w:color="000000" w:sz="4" w:space="0"/>
              <w:left w:val="single" w:color="000000" w:sz="4" w:space="0"/>
              <w:bottom w:val="single" w:color="000000" w:sz="4" w:space="0"/>
              <w:right w:val="single" w:color="auto" w:sz="4" w:space="0"/>
            </w:tcBorders>
            <w:noWrap/>
            <w:vAlign w:val="center"/>
          </w:tcPr>
          <w:p w14:paraId="684169D9">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宽带无线电通信测试仪</w:t>
            </w:r>
          </w:p>
        </w:tc>
        <w:tc>
          <w:tcPr>
            <w:tcW w:w="5189" w:type="dxa"/>
            <w:tcBorders>
              <w:top w:val="single" w:color="000000" w:sz="4" w:space="0"/>
              <w:left w:val="single" w:color="000000" w:sz="4" w:space="0"/>
              <w:bottom w:val="single" w:color="000000" w:sz="4" w:space="0"/>
              <w:right w:val="single" w:color="auto" w:sz="4" w:space="0"/>
            </w:tcBorders>
            <w:noWrap/>
            <w:vAlign w:val="center"/>
          </w:tcPr>
          <w:p w14:paraId="7655F030">
            <w:pPr>
              <w:jc w:val="center"/>
              <w:rPr>
                <w:rFonts w:hint="eastAsia" w:ascii="仿宋" w:hAnsi="仿宋" w:eastAsia="仿宋" w:cs="仿宋"/>
                <w:color w:val="auto"/>
                <w:szCs w:val="21"/>
                <w:highlight w:val="none"/>
              </w:rPr>
            </w:pPr>
          </w:p>
        </w:tc>
        <w:tc>
          <w:tcPr>
            <w:tcW w:w="1075" w:type="dxa"/>
            <w:tcBorders>
              <w:top w:val="single" w:color="000000" w:sz="4" w:space="0"/>
              <w:left w:val="single" w:color="auto" w:sz="4" w:space="0"/>
              <w:bottom w:val="single" w:color="000000" w:sz="4" w:space="0"/>
              <w:right w:val="single" w:color="000000" w:sz="4" w:space="0"/>
            </w:tcBorders>
            <w:noWrap/>
            <w:vAlign w:val="center"/>
          </w:tcPr>
          <w:p w14:paraId="51FBE12D">
            <w:pPr>
              <w:spacing w:line="360" w:lineRule="exact"/>
              <w:jc w:val="center"/>
              <w:textAlignment w:val="center"/>
              <w:rPr>
                <w:rFonts w:hint="eastAsia" w:ascii="仿宋" w:hAnsi="仿宋" w:eastAsia="仿宋" w:cs="仿宋"/>
                <w:color w:val="auto"/>
                <w:kern w:val="0"/>
                <w:szCs w:val="21"/>
                <w:highlight w:val="none"/>
              </w:rPr>
            </w:pPr>
          </w:p>
        </w:tc>
      </w:tr>
    </w:tbl>
    <w:p w14:paraId="49C0741B">
      <w:pPr>
        <w:numPr>
          <w:ilvl w:val="0"/>
          <w:numId w:val="0"/>
        </w:numPr>
        <w:spacing w:line="360" w:lineRule="auto"/>
        <w:ind w:leftChars="0" w:firstLine="211" w:firstLineChars="100"/>
        <w:rPr>
          <w:rFonts w:hint="eastAsia" w:ascii="仿宋" w:hAnsi="仿宋" w:eastAsia="仿宋" w:cs="仿宋"/>
          <w:b/>
          <w:color w:val="auto"/>
          <w:highlight w:val="none"/>
          <w:lang w:val="en-US" w:eastAsia="zh-CN"/>
        </w:rPr>
      </w:pPr>
    </w:p>
    <w:p w14:paraId="3E8F17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5、</w:t>
      </w:r>
      <w:r>
        <w:rPr>
          <w:rFonts w:hint="eastAsia" w:ascii="仿宋" w:hAnsi="仿宋" w:eastAsia="仿宋" w:cs="仿宋"/>
          <w:b/>
          <w:color w:val="auto"/>
          <w:sz w:val="24"/>
          <w:szCs w:val="24"/>
          <w:highlight w:val="none"/>
        </w:rPr>
        <w:t>同类采购项目历史成交信息</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包括采购单位、项目名称、编号、成交金额、成交公告截图等</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0340E8D1">
        <w:tblPrEx>
          <w:tblCellMar>
            <w:top w:w="0" w:type="dxa"/>
            <w:left w:w="108" w:type="dxa"/>
            <w:bottom w:w="0" w:type="dxa"/>
            <w:right w:w="108" w:type="dxa"/>
          </w:tblCellMar>
        </w:tblPrEx>
        <w:trPr>
          <w:trHeight w:val="84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76F7DB4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1772FFDB">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7C9EBE44">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同类采购项目历史成交信息</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781067F">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6A58131">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526871C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A970390">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通信自动化研发与测试系统（PCT测试环境）</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C243C1C">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6F6C55E6">
            <w:pPr>
              <w:spacing w:line="360" w:lineRule="exact"/>
              <w:jc w:val="center"/>
              <w:textAlignment w:val="center"/>
              <w:rPr>
                <w:rFonts w:hint="eastAsia" w:ascii="仿宋" w:hAnsi="仿宋" w:eastAsia="仿宋" w:cs="仿宋"/>
                <w:color w:val="auto"/>
                <w:kern w:val="0"/>
                <w:szCs w:val="21"/>
                <w:highlight w:val="none"/>
              </w:rPr>
            </w:pPr>
          </w:p>
        </w:tc>
      </w:tr>
      <w:tr w14:paraId="42BB5B68">
        <w:tblPrEx>
          <w:tblCellMar>
            <w:top w:w="0" w:type="dxa"/>
            <w:left w:w="108" w:type="dxa"/>
            <w:bottom w:w="0" w:type="dxa"/>
            <w:right w:w="108" w:type="dxa"/>
          </w:tblCellMar>
        </w:tblPrEx>
        <w:trPr>
          <w:trHeight w:val="740"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BDA6D7C">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70612F4">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宽带无线电通信测试仪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6DF2C62B">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3C37CF2">
            <w:pPr>
              <w:spacing w:line="360" w:lineRule="exact"/>
              <w:jc w:val="center"/>
              <w:textAlignment w:val="center"/>
              <w:rPr>
                <w:rFonts w:hint="eastAsia" w:ascii="仿宋" w:hAnsi="仿宋" w:eastAsia="仿宋" w:cs="仿宋"/>
                <w:color w:val="auto"/>
                <w:kern w:val="0"/>
                <w:szCs w:val="21"/>
                <w:highlight w:val="none"/>
              </w:rPr>
            </w:pPr>
          </w:p>
        </w:tc>
      </w:tr>
    </w:tbl>
    <w:p w14:paraId="5A7A6C40">
      <w:pPr>
        <w:numPr>
          <w:ilvl w:val="0"/>
          <w:numId w:val="0"/>
        </w:numPr>
        <w:spacing w:line="360" w:lineRule="auto"/>
        <w:ind w:leftChars="0"/>
        <w:rPr>
          <w:rFonts w:hint="eastAsia" w:ascii="仿宋" w:hAnsi="仿宋" w:eastAsia="仿宋" w:cs="仿宋"/>
          <w:b/>
          <w:color w:val="auto"/>
          <w:highlight w:val="none"/>
        </w:rPr>
      </w:pPr>
    </w:p>
    <w:p w14:paraId="174332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可能涉及的后续采购情况：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53529286">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6D4672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3BD1B9E0">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9B9CBDA">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可能涉及的后续采购情况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0CD3481">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3D2E9A59">
        <w:tblPrEx>
          <w:tblCellMar>
            <w:top w:w="0" w:type="dxa"/>
            <w:left w:w="108" w:type="dxa"/>
            <w:bottom w:w="0" w:type="dxa"/>
            <w:right w:w="108" w:type="dxa"/>
          </w:tblCellMar>
        </w:tblPrEx>
        <w:trPr>
          <w:trHeight w:val="69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34D9D9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4597ECB0">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通信自动化研发与测试系统（PCT测试环境）</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CD14048">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7F90C1E8">
            <w:pPr>
              <w:spacing w:line="360" w:lineRule="exact"/>
              <w:jc w:val="center"/>
              <w:textAlignment w:val="center"/>
              <w:rPr>
                <w:rFonts w:hint="eastAsia" w:ascii="仿宋" w:hAnsi="仿宋" w:eastAsia="仿宋" w:cs="仿宋"/>
                <w:color w:val="auto"/>
                <w:kern w:val="0"/>
                <w:szCs w:val="21"/>
                <w:highlight w:val="none"/>
              </w:rPr>
            </w:pPr>
          </w:p>
        </w:tc>
      </w:tr>
      <w:tr w14:paraId="6E6381D5">
        <w:tblPrEx>
          <w:tblCellMar>
            <w:top w:w="0" w:type="dxa"/>
            <w:left w:w="108" w:type="dxa"/>
            <w:bottom w:w="0" w:type="dxa"/>
            <w:right w:w="108" w:type="dxa"/>
          </w:tblCellMar>
        </w:tblPrEx>
        <w:trPr>
          <w:trHeight w:val="694"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0DB4BDBC">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B3362C0">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宽带无线电通信测试仪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1B2AA01">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2C3172AE">
            <w:pPr>
              <w:spacing w:line="360" w:lineRule="exact"/>
              <w:jc w:val="center"/>
              <w:textAlignment w:val="center"/>
              <w:rPr>
                <w:rFonts w:hint="eastAsia" w:ascii="仿宋" w:hAnsi="仿宋" w:eastAsia="仿宋" w:cs="仿宋"/>
                <w:color w:val="auto"/>
                <w:kern w:val="0"/>
                <w:szCs w:val="21"/>
                <w:highlight w:val="none"/>
              </w:rPr>
            </w:pPr>
          </w:p>
        </w:tc>
      </w:tr>
    </w:tbl>
    <w:p w14:paraId="7EDB21B2">
      <w:pPr>
        <w:numPr>
          <w:ilvl w:val="0"/>
          <w:numId w:val="0"/>
        </w:numPr>
        <w:spacing w:line="360" w:lineRule="auto"/>
        <w:ind w:leftChars="0"/>
        <w:rPr>
          <w:rFonts w:hint="eastAsia" w:ascii="仿宋" w:hAnsi="仿宋" w:eastAsia="仿宋" w:cs="仿宋"/>
          <w:b/>
          <w:color w:val="auto"/>
          <w:highlight w:val="none"/>
        </w:rPr>
      </w:pPr>
    </w:p>
    <w:p w14:paraId="14ADFB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其他相关情况：</w:t>
      </w:r>
    </w:p>
    <w:tbl>
      <w:tblPr>
        <w:tblStyle w:val="7"/>
        <w:tblW w:w="9338" w:type="dxa"/>
        <w:jc w:val="center"/>
        <w:tblLayout w:type="fixed"/>
        <w:tblCellMar>
          <w:top w:w="0" w:type="dxa"/>
          <w:left w:w="108" w:type="dxa"/>
          <w:bottom w:w="0" w:type="dxa"/>
          <w:right w:w="108" w:type="dxa"/>
        </w:tblCellMar>
      </w:tblPr>
      <w:tblGrid>
        <w:gridCol w:w="486"/>
        <w:gridCol w:w="2575"/>
        <w:gridCol w:w="5200"/>
        <w:gridCol w:w="1077"/>
      </w:tblGrid>
      <w:tr w14:paraId="45D61071">
        <w:tblPrEx>
          <w:tblCellMar>
            <w:top w:w="0" w:type="dxa"/>
            <w:left w:w="108" w:type="dxa"/>
            <w:bottom w:w="0" w:type="dxa"/>
            <w:right w:w="108" w:type="dxa"/>
          </w:tblCellMar>
        </w:tblPrEx>
        <w:trPr>
          <w:trHeight w:val="82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28BC81D5">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7174837E">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标的名称</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60B02A2">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highlight w:val="none"/>
              </w:rPr>
              <w:t>其他相关情况</w:t>
            </w: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EFB9DDC">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14:paraId="7B13D4A5">
        <w:tblPrEx>
          <w:tblCellMar>
            <w:top w:w="0" w:type="dxa"/>
            <w:left w:w="108" w:type="dxa"/>
            <w:bottom w:w="0" w:type="dxa"/>
            <w:right w:w="108" w:type="dxa"/>
          </w:tblCellMar>
        </w:tblPrEx>
        <w:trPr>
          <w:trHeight w:val="65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4B1CD1C8">
            <w:pPr>
              <w:spacing w:line="360" w:lineRule="exact"/>
              <w:jc w:val="center"/>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5764574C">
            <w:pPr>
              <w:spacing w:line="360" w:lineRule="exact"/>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 w:val="21"/>
                <w:szCs w:val="21"/>
                <w:highlight w:val="none"/>
                <w:lang w:eastAsia="zh-CN"/>
              </w:rPr>
              <w:t>通信自动化研发与测试系统（PCT测试环境）</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10A31206">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316C229F">
            <w:pPr>
              <w:spacing w:line="360" w:lineRule="exact"/>
              <w:jc w:val="center"/>
              <w:textAlignment w:val="center"/>
              <w:rPr>
                <w:rFonts w:hint="eastAsia" w:ascii="仿宋" w:hAnsi="仿宋" w:eastAsia="仿宋" w:cs="仿宋"/>
                <w:color w:val="auto"/>
                <w:kern w:val="0"/>
                <w:szCs w:val="21"/>
                <w:highlight w:val="none"/>
              </w:rPr>
            </w:pPr>
          </w:p>
        </w:tc>
      </w:tr>
      <w:tr w14:paraId="5B17486A">
        <w:tblPrEx>
          <w:tblCellMar>
            <w:top w:w="0" w:type="dxa"/>
            <w:left w:w="108" w:type="dxa"/>
            <w:bottom w:w="0" w:type="dxa"/>
            <w:right w:w="108" w:type="dxa"/>
          </w:tblCellMar>
        </w:tblPrEx>
        <w:trPr>
          <w:trHeight w:val="657" w:hRule="atLeast"/>
          <w:jc w:val="center"/>
        </w:trPr>
        <w:tc>
          <w:tcPr>
            <w:tcW w:w="486" w:type="dxa"/>
            <w:tcBorders>
              <w:top w:val="single" w:color="000000" w:sz="4" w:space="0"/>
              <w:left w:val="single" w:color="000000" w:sz="4" w:space="0"/>
              <w:bottom w:val="single" w:color="000000" w:sz="4" w:space="0"/>
              <w:right w:val="single" w:color="000000" w:sz="4" w:space="0"/>
            </w:tcBorders>
            <w:noWrap/>
            <w:vAlign w:val="center"/>
          </w:tcPr>
          <w:p w14:paraId="3364310E">
            <w:pPr>
              <w:spacing w:line="360" w:lineRule="exact"/>
              <w:jc w:val="center"/>
              <w:textAlignment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2575" w:type="dxa"/>
            <w:tcBorders>
              <w:top w:val="single" w:color="000000" w:sz="4" w:space="0"/>
              <w:left w:val="single" w:color="000000" w:sz="4" w:space="0"/>
              <w:bottom w:val="single" w:color="000000" w:sz="4" w:space="0"/>
              <w:right w:val="single" w:color="auto" w:sz="4" w:space="0"/>
            </w:tcBorders>
            <w:noWrap/>
            <w:vAlign w:val="center"/>
          </w:tcPr>
          <w:p w14:paraId="2021AD34">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宽带无线电通信测试仪</w:t>
            </w:r>
          </w:p>
        </w:tc>
        <w:tc>
          <w:tcPr>
            <w:tcW w:w="5200" w:type="dxa"/>
            <w:tcBorders>
              <w:top w:val="single" w:color="000000" w:sz="4" w:space="0"/>
              <w:left w:val="single" w:color="000000" w:sz="4" w:space="0"/>
              <w:bottom w:val="single" w:color="000000" w:sz="4" w:space="0"/>
              <w:right w:val="single" w:color="auto" w:sz="4" w:space="0"/>
            </w:tcBorders>
            <w:noWrap/>
            <w:vAlign w:val="center"/>
          </w:tcPr>
          <w:p w14:paraId="40D3DA7A">
            <w:pPr>
              <w:jc w:val="center"/>
              <w:rPr>
                <w:rFonts w:hint="eastAsia" w:ascii="仿宋" w:hAnsi="仿宋" w:eastAsia="仿宋" w:cs="仿宋"/>
                <w:color w:val="auto"/>
                <w:szCs w:val="21"/>
                <w:highlight w:val="none"/>
              </w:rPr>
            </w:pPr>
          </w:p>
        </w:tc>
        <w:tc>
          <w:tcPr>
            <w:tcW w:w="1077" w:type="dxa"/>
            <w:tcBorders>
              <w:top w:val="single" w:color="000000" w:sz="4" w:space="0"/>
              <w:left w:val="single" w:color="auto" w:sz="4" w:space="0"/>
              <w:bottom w:val="single" w:color="000000" w:sz="4" w:space="0"/>
              <w:right w:val="single" w:color="000000" w:sz="4" w:space="0"/>
            </w:tcBorders>
            <w:noWrap/>
            <w:vAlign w:val="center"/>
          </w:tcPr>
          <w:p w14:paraId="5105ED6D">
            <w:pPr>
              <w:spacing w:line="360" w:lineRule="exact"/>
              <w:jc w:val="center"/>
              <w:textAlignment w:val="center"/>
              <w:rPr>
                <w:rFonts w:hint="eastAsia" w:ascii="仿宋" w:hAnsi="仿宋" w:eastAsia="仿宋" w:cs="仿宋"/>
                <w:color w:val="auto"/>
                <w:kern w:val="0"/>
                <w:szCs w:val="21"/>
                <w:highlight w:val="none"/>
              </w:rPr>
            </w:pPr>
          </w:p>
        </w:tc>
      </w:tr>
    </w:tbl>
    <w:p w14:paraId="5AAB6A88">
      <w:pPr>
        <w:spacing w:line="360" w:lineRule="auto"/>
        <w:rPr>
          <w:rFonts w:hint="eastAsia" w:ascii="仿宋" w:hAnsi="仿宋" w:eastAsia="仿宋" w:cs="仿宋"/>
          <w:b/>
          <w:color w:val="auto"/>
          <w:highlight w:val="none"/>
        </w:rPr>
      </w:pPr>
    </w:p>
    <w:p w14:paraId="1594CCDE">
      <w:pPr>
        <w:spacing w:line="360" w:lineRule="auto"/>
        <w:rPr>
          <w:rFonts w:hint="eastAsia" w:ascii="仿宋" w:hAnsi="仿宋" w:eastAsia="仿宋" w:cs="仿宋"/>
          <w:color w:val="auto"/>
          <w:szCs w:val="21"/>
          <w:highlight w:val="none"/>
        </w:rPr>
      </w:pPr>
      <w:r>
        <w:rPr>
          <w:rFonts w:hint="eastAsia" w:ascii="仿宋" w:hAnsi="仿宋" w:eastAsia="仿宋" w:cs="仿宋"/>
          <w:b/>
          <w:color w:val="auto"/>
          <w:sz w:val="24"/>
          <w:szCs w:val="24"/>
          <w:highlight w:val="none"/>
          <w:lang w:val="en-US" w:eastAsia="zh-CN"/>
        </w:rPr>
        <w:t>8、技术商务要求是否合理：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是□否（选填下表）</w:t>
      </w:r>
    </w:p>
    <w:p w14:paraId="5CF741B8">
      <w:pPr>
        <w:pStyle w:val="3"/>
        <w:ind w:firstLine="0"/>
        <w:rPr>
          <w:rFonts w:hint="eastAsia" w:ascii="仿宋" w:hAnsi="仿宋" w:eastAsia="仿宋" w:cs="仿宋"/>
          <w:color w:val="auto"/>
          <w:highlight w:val="none"/>
        </w:rPr>
      </w:pPr>
      <w:r>
        <w:rPr>
          <w:rFonts w:hint="eastAsia" w:ascii="仿宋" w:hAnsi="仿宋" w:eastAsia="仿宋" w:cs="仿宋"/>
          <w:color w:val="auto"/>
          <w:highlight w:val="none"/>
        </w:rPr>
        <w:t>（1）技术要求如下：</w:t>
      </w:r>
    </w:p>
    <w:tbl>
      <w:tblPr>
        <w:tblStyle w:val="7"/>
        <w:tblW w:w="9957" w:type="dxa"/>
        <w:jc w:val="center"/>
        <w:tblLayout w:type="fixed"/>
        <w:tblCellMar>
          <w:top w:w="0" w:type="dxa"/>
          <w:left w:w="108" w:type="dxa"/>
          <w:bottom w:w="0" w:type="dxa"/>
          <w:right w:w="108" w:type="dxa"/>
        </w:tblCellMar>
      </w:tblPr>
      <w:tblGrid>
        <w:gridCol w:w="638"/>
        <w:gridCol w:w="1290"/>
        <w:gridCol w:w="4912"/>
        <w:gridCol w:w="3117"/>
      </w:tblGrid>
      <w:tr w14:paraId="1893C9D4">
        <w:tblPrEx>
          <w:tblCellMar>
            <w:top w:w="0" w:type="dxa"/>
            <w:left w:w="108" w:type="dxa"/>
            <w:bottom w:w="0" w:type="dxa"/>
            <w:right w:w="108" w:type="dxa"/>
          </w:tblCellMar>
        </w:tblPrEx>
        <w:trPr>
          <w:trHeight w:val="446"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465FBE38">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314DA375">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标的名称</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2EF8FBB9">
            <w:pPr>
              <w:keepNext w:val="0"/>
              <w:keepLines w:val="0"/>
              <w:pageBreakBefore w:val="0"/>
              <w:widowControl w:val="0"/>
              <w:kinsoku/>
              <w:wordWrap w:val="0"/>
              <w:overflowPunct/>
              <w:topLinePunct w:val="0"/>
              <w:autoSpaceDE/>
              <w:autoSpaceDN/>
              <w:bidi w:val="0"/>
              <w:adjustRightInd/>
              <w:snapToGrid/>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技术要求</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D4EDEE8">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修改意见</w:t>
            </w:r>
          </w:p>
        </w:tc>
      </w:tr>
      <w:tr w14:paraId="2CAA5FD2">
        <w:tblPrEx>
          <w:tblCellMar>
            <w:top w:w="0" w:type="dxa"/>
            <w:left w:w="108" w:type="dxa"/>
            <w:bottom w:w="0" w:type="dxa"/>
            <w:right w:w="108" w:type="dxa"/>
          </w:tblCellMar>
        </w:tblPrEx>
        <w:trPr>
          <w:trHeight w:val="1531"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07C4EE11">
            <w:pPr>
              <w:spacing w:line="360" w:lineRule="exact"/>
              <w:jc w:val="center"/>
              <w:textAlignment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78E73347">
            <w:pPr>
              <w:spacing w:line="360" w:lineRule="exact"/>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kern w:val="0"/>
                <w:sz w:val="21"/>
                <w:szCs w:val="21"/>
                <w:highlight w:val="none"/>
                <w:lang w:eastAsia="zh-CN"/>
              </w:rPr>
              <w:t>通信自动化研发与测试系统（PCT测试环境）</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455AE47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协议一致性系统</w:t>
            </w:r>
          </w:p>
          <w:p w14:paraId="4AFC8738">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1.▲系统支持3GPPTS36.523-1规范要求的LTECat1和Cat1Bis协议一致性传到测试，至少包括一台信令综测仪以及其他所需附件等；无线综合测试仪和测试软件需要提供制造商对此项目授权书。</w:t>
            </w:r>
          </w:p>
          <w:p w14:paraId="54DC5A31">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2.系统支持3GPPTS36.523-1LTECat1和Cat1Bis定义的如下场景，并提供测试报告、测试系统整体搭建图片，软件界面截图</w:t>
            </w:r>
            <w:r>
              <w:rPr>
                <w:rFonts w:hint="eastAsia" w:ascii="仿宋" w:hAnsi="仿宋" w:eastAsia="仿宋" w:cs="仿宋"/>
                <w:color w:val="auto"/>
                <w:kern w:val="0"/>
                <w:szCs w:val="21"/>
                <w:highlight w:val="none"/>
                <w:lang w:eastAsia="zh-CN"/>
              </w:rPr>
              <w:t>：</w:t>
            </w:r>
          </w:p>
          <w:p w14:paraId="247CE46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1）支持终端Idle状态下的测试，包括PLMN选择，小区选择，小区重选等场景测试；</w:t>
            </w:r>
          </w:p>
          <w:p w14:paraId="66529AF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2）支持MAC层协议一致性测试，包括逻辑信道ID，随机接入，C-RNTI测试，DL</w:t>
            </w:r>
            <w:r>
              <w:rPr>
                <w:rFonts w:ascii="仿宋" w:hAnsi="仿宋" w:eastAsia="仿宋" w:cs="仿宋"/>
                <w:color w:val="auto"/>
                <w:kern w:val="0"/>
                <w:szCs w:val="21"/>
                <w:highlight w:val="none"/>
              </w:rPr>
              <w:t>assignment</w:t>
            </w:r>
            <w:r>
              <w:rPr>
                <w:rFonts w:hint="eastAsia" w:ascii="仿宋" w:hAnsi="仿宋" w:eastAsia="仿宋" w:cs="仿宋"/>
                <w:color w:val="auto"/>
                <w:kern w:val="0"/>
                <w:szCs w:val="21"/>
                <w:highlight w:val="none"/>
              </w:rPr>
              <w:t>,MACpadding,HARQ控制，TTIBundling,DRX，MAC控制信息解码等测试；</w:t>
            </w:r>
          </w:p>
          <w:p w14:paraId="0A0F7F8D">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3）支持RLC层协议一致性测试，包括UM模式和AM模式，支持PDU的分包，组包，排序，丢弃，重传和重配置机制等功能；</w:t>
            </w:r>
          </w:p>
          <w:p w14:paraId="0F9CEFD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4）支持PDCP层协议一致性测试，包括PDCP层SNOW3G和AES加密和解密算法测试，SNOW3G和AES完整性保护测试，长PDCP序列和短PDCP序列测试，PDCP序列的维护，切换和丢弃等协议功能测试；</w:t>
            </w:r>
          </w:p>
          <w:p w14:paraId="12A98D48">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5）支持RRC层协议一致性测试，包括小区重配置场景下测试无线资源重建立，无线资源重配置，SRB/DRB重配置，测量和上报，切换场景，无线链路失败等场景测试；</w:t>
            </w:r>
          </w:p>
          <w:p w14:paraId="0D9DC0E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6）支持核心网EMM协议一致性场景测试，包括</w:t>
            </w:r>
            <w:r>
              <w:rPr>
                <w:rFonts w:ascii="仿宋" w:hAnsi="仿宋" w:eastAsia="仿宋" w:cs="仿宋"/>
                <w:color w:val="auto"/>
                <w:kern w:val="0"/>
                <w:szCs w:val="21"/>
                <w:highlight w:val="none"/>
              </w:rPr>
              <w:t>AttahReject</w:t>
            </w:r>
            <w:r>
              <w:rPr>
                <w:rFonts w:hint="eastAsia" w:ascii="仿宋" w:hAnsi="仿宋" w:eastAsia="仿宋" w:cs="仿宋"/>
                <w:color w:val="auto"/>
                <w:kern w:val="0"/>
                <w:szCs w:val="21"/>
                <w:highlight w:val="none"/>
              </w:rPr>
              <w:t>场景下各种原因的测试，AttachSuccess场景，EMM消息携带PLMN列表测试，IMSI测试场景，TrackingAreaUpdate场景测试，ServiceRequest场景测试，EMM层的SNOW3G和AES的加密/解密以及完整性保护算法测试；</w:t>
            </w:r>
          </w:p>
          <w:p w14:paraId="77FE04CD">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7）支持核心网ESM协议一致性场景测试，包括终端发起和终端被叫短消息场景测试，无线承载资源的分配，修改，无线资源合并等场景测试。</w:t>
            </w:r>
          </w:p>
          <w:p w14:paraId="670B371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3.▲系统是GCF认证平台，提供GCF官网DCC数据库系</w:t>
            </w:r>
            <w:r>
              <w:rPr>
                <w:rFonts w:hint="cs" w:ascii="仿宋" w:hAnsi="仿宋" w:eastAsia="仿宋" w:cs="仿宋"/>
                <w:color w:val="auto"/>
                <w:kern w:val="0"/>
                <w:szCs w:val="21"/>
                <w:highlight w:val="none"/>
              </w:rPr>
              <w:t>统认证</w:t>
            </w:r>
            <w:r>
              <w:rPr>
                <w:rFonts w:hint="eastAsia" w:ascii="仿宋" w:hAnsi="仿宋" w:eastAsia="仿宋" w:cs="仿宋"/>
                <w:color w:val="auto"/>
                <w:kern w:val="0"/>
                <w:szCs w:val="21"/>
                <w:highlight w:val="none"/>
              </w:rPr>
              <w:t>平台号记录和数据，截至2026年1月31日官方认证如下内容：</w:t>
            </w:r>
          </w:p>
          <w:p w14:paraId="344D48B2">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1）系统认证GCFLTE</w:t>
            </w:r>
            <w:r>
              <w:rPr>
                <w:rFonts w:ascii="仿宋" w:hAnsi="仿宋" w:eastAsia="仿宋" w:cs="仿宋"/>
                <w:color w:val="auto"/>
                <w:kern w:val="0"/>
                <w:szCs w:val="21"/>
                <w:highlight w:val="none"/>
              </w:rPr>
              <w:t>Cat1</w:t>
            </w:r>
            <w:r>
              <w:rPr>
                <w:rFonts w:hint="eastAsia" w:ascii="仿宋" w:hAnsi="仿宋" w:eastAsia="仿宋" w:cs="仿宋"/>
                <w:color w:val="auto"/>
                <w:kern w:val="0"/>
                <w:szCs w:val="21"/>
                <w:highlight w:val="none"/>
              </w:rPr>
              <w:t>和Cat1Bis</w:t>
            </w:r>
            <w:r>
              <w:rPr>
                <w:rFonts w:ascii="仿宋" w:hAnsi="仿宋" w:eastAsia="仿宋" w:cs="仿宋"/>
                <w:color w:val="auto"/>
                <w:kern w:val="0"/>
                <w:szCs w:val="21"/>
                <w:highlight w:val="none"/>
              </w:rPr>
              <w:t>workitemWI</w:t>
            </w:r>
            <w:r>
              <w:rPr>
                <w:rFonts w:hint="eastAsia" w:ascii="仿宋" w:hAnsi="仿宋" w:eastAsia="仿宋" w:cs="仿宋"/>
                <w:color w:val="auto"/>
                <w:kern w:val="0"/>
                <w:szCs w:val="21"/>
                <w:highlight w:val="none"/>
              </w:rPr>
              <w:t>-091认证，满足80%以上A类项认证；</w:t>
            </w:r>
          </w:p>
          <w:p w14:paraId="13EA9841">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2）系统认证GCFLTE</w:t>
            </w:r>
            <w:r>
              <w:rPr>
                <w:rFonts w:ascii="仿宋" w:hAnsi="仿宋" w:eastAsia="仿宋" w:cs="仿宋"/>
                <w:color w:val="auto"/>
                <w:kern w:val="0"/>
                <w:szCs w:val="21"/>
                <w:highlight w:val="none"/>
              </w:rPr>
              <w:t>Cat1</w:t>
            </w:r>
            <w:r>
              <w:rPr>
                <w:rFonts w:hint="eastAsia" w:ascii="仿宋" w:hAnsi="仿宋" w:eastAsia="仿宋" w:cs="仿宋"/>
                <w:color w:val="auto"/>
                <w:kern w:val="0"/>
                <w:szCs w:val="21"/>
                <w:highlight w:val="none"/>
              </w:rPr>
              <w:t>和Cat1Bis</w:t>
            </w:r>
            <w:r>
              <w:rPr>
                <w:rFonts w:ascii="仿宋" w:hAnsi="仿宋" w:eastAsia="仿宋" w:cs="仿宋"/>
                <w:color w:val="auto"/>
                <w:kern w:val="0"/>
                <w:szCs w:val="21"/>
                <w:highlight w:val="none"/>
              </w:rPr>
              <w:t>workitemWI</w:t>
            </w:r>
            <w:r>
              <w:rPr>
                <w:rFonts w:hint="eastAsia" w:ascii="仿宋" w:hAnsi="仿宋" w:eastAsia="仿宋" w:cs="仿宋"/>
                <w:color w:val="auto"/>
                <w:kern w:val="0"/>
                <w:szCs w:val="21"/>
                <w:highlight w:val="none"/>
              </w:rPr>
              <w:t>-092认证，满足80%以上A类项认证</w:t>
            </w:r>
            <w:r>
              <w:rPr>
                <w:rFonts w:hint="eastAsia" w:ascii="仿宋" w:hAnsi="仿宋" w:eastAsia="仿宋" w:cs="仿宋"/>
                <w:color w:val="auto"/>
                <w:kern w:val="0"/>
                <w:szCs w:val="21"/>
                <w:highlight w:val="none"/>
                <w:lang w:eastAsia="zh-CN"/>
              </w:rPr>
              <w:t>。</w:t>
            </w:r>
          </w:p>
          <w:p w14:paraId="29DFA2F2">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4.系</w:t>
            </w:r>
            <w:r>
              <w:rPr>
                <w:rFonts w:hint="cs" w:ascii="仿宋" w:hAnsi="仿宋" w:eastAsia="仿宋" w:cs="仿宋"/>
                <w:color w:val="auto"/>
                <w:kern w:val="0"/>
                <w:szCs w:val="21"/>
                <w:highlight w:val="none"/>
              </w:rPr>
              <w:t>统测试</w:t>
            </w:r>
            <w:r>
              <w:rPr>
                <w:rFonts w:hint="eastAsia" w:ascii="仿宋" w:hAnsi="仿宋" w:eastAsia="仿宋" w:cs="仿宋"/>
                <w:color w:val="auto"/>
                <w:kern w:val="0"/>
                <w:szCs w:val="21"/>
                <w:highlight w:val="none"/>
              </w:rPr>
              <w:t>要求</w:t>
            </w:r>
          </w:p>
          <w:p w14:paraId="037AF3A3">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统软</w:t>
            </w:r>
            <w:r>
              <w:rPr>
                <w:rFonts w:hint="eastAsia" w:ascii="仿宋" w:hAnsi="仿宋" w:eastAsia="仿宋" w:cs="仿宋"/>
                <w:color w:val="auto"/>
                <w:kern w:val="0"/>
                <w:szCs w:val="21"/>
                <w:highlight w:val="none"/>
              </w:rPr>
              <w:t>件具有</w:t>
            </w:r>
            <w:r>
              <w:rPr>
                <w:rFonts w:hint="cs" w:ascii="仿宋" w:hAnsi="仿宋" w:eastAsia="仿宋" w:cs="仿宋"/>
                <w:color w:val="auto"/>
                <w:kern w:val="0"/>
                <w:szCs w:val="21"/>
                <w:highlight w:val="none"/>
              </w:rPr>
              <w:t>对</w:t>
            </w:r>
            <w:r>
              <w:rPr>
                <w:rFonts w:hint="eastAsia" w:ascii="仿宋" w:hAnsi="仿宋" w:eastAsia="仿宋" w:cs="仿宋"/>
                <w:color w:val="auto"/>
                <w:kern w:val="0"/>
                <w:szCs w:val="21"/>
                <w:highlight w:val="none"/>
              </w:rPr>
              <w:t>待</w:t>
            </w:r>
            <w:r>
              <w:rPr>
                <w:rFonts w:hint="cs" w:ascii="仿宋" w:hAnsi="仿宋" w:eastAsia="仿宋" w:cs="仿宋"/>
                <w:color w:val="auto"/>
                <w:kern w:val="0"/>
                <w:szCs w:val="21"/>
                <w:highlight w:val="none"/>
              </w:rPr>
              <w:t>测终</w:t>
            </w:r>
            <w:r>
              <w:rPr>
                <w:rFonts w:hint="eastAsia" w:ascii="仿宋" w:hAnsi="仿宋" w:eastAsia="仿宋" w:cs="仿宋"/>
                <w:color w:val="auto"/>
                <w:kern w:val="0"/>
                <w:szCs w:val="21"/>
                <w:highlight w:val="none"/>
              </w:rPr>
              <w:t>端</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w:t>
            </w:r>
            <w:r>
              <w:rPr>
                <w:rFonts w:hint="cs" w:ascii="仿宋" w:hAnsi="仿宋" w:eastAsia="仿宋" w:cs="仿宋"/>
                <w:color w:val="auto"/>
                <w:kern w:val="0"/>
                <w:szCs w:val="21"/>
                <w:highlight w:val="none"/>
              </w:rPr>
              <w:t>远</w:t>
            </w:r>
            <w:r>
              <w:rPr>
                <w:rFonts w:hint="eastAsia" w:ascii="仿宋" w:hAnsi="仿宋" w:eastAsia="仿宋" w:cs="仿宋"/>
                <w:color w:val="auto"/>
                <w:kern w:val="0"/>
                <w:szCs w:val="21"/>
                <w:highlight w:val="none"/>
              </w:rPr>
              <w:t>程控制的能力，从而</w:t>
            </w:r>
            <w:r>
              <w:rPr>
                <w:rFonts w:hint="cs" w:ascii="仿宋" w:hAnsi="仿宋" w:eastAsia="仿宋" w:cs="仿宋"/>
                <w:color w:val="auto"/>
                <w:kern w:val="0"/>
                <w:szCs w:val="21"/>
                <w:highlight w:val="none"/>
              </w:rPr>
              <w:t>实现终</w:t>
            </w:r>
            <w:r>
              <w:rPr>
                <w:rFonts w:hint="eastAsia" w:ascii="仿宋" w:hAnsi="仿宋" w:eastAsia="仿宋" w:cs="仿宋"/>
                <w:color w:val="auto"/>
                <w:kern w:val="0"/>
                <w:szCs w:val="21"/>
                <w:highlight w:val="none"/>
              </w:rPr>
              <w:t>端协议</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的完全自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化。</w:t>
            </w:r>
          </w:p>
          <w:p w14:paraId="1EE15FE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w:t>
            </w:r>
            <w:r>
              <w:rPr>
                <w:rFonts w:hint="eastAsia" w:ascii="仿宋" w:hAnsi="仿宋" w:eastAsia="仿宋" w:cs="仿宋"/>
                <w:color w:val="auto"/>
                <w:kern w:val="0"/>
                <w:szCs w:val="21"/>
                <w:highlight w:val="none"/>
              </w:rPr>
              <w:t>需支持使用以太网口、串口</w:t>
            </w:r>
            <w:r>
              <w:rPr>
                <w:rFonts w:hint="cs" w:ascii="仿宋" w:hAnsi="仿宋" w:eastAsia="仿宋" w:cs="仿宋"/>
                <w:color w:val="auto"/>
                <w:kern w:val="0"/>
                <w:szCs w:val="21"/>
                <w:highlight w:val="none"/>
              </w:rPr>
              <w:t>发</w:t>
            </w:r>
            <w:r>
              <w:rPr>
                <w:rFonts w:hint="eastAsia" w:ascii="仿宋" w:hAnsi="仿宋" w:eastAsia="仿宋" w:cs="仿宋"/>
                <w:color w:val="auto"/>
                <w:kern w:val="0"/>
                <w:szCs w:val="21"/>
                <w:highlight w:val="none"/>
              </w:rPr>
              <w:t>送</w:t>
            </w:r>
            <w:r>
              <w:rPr>
                <w:rFonts w:ascii="仿宋" w:hAnsi="仿宋" w:eastAsia="仿宋" w:cs="仿宋"/>
                <w:color w:val="auto"/>
                <w:kern w:val="0"/>
                <w:szCs w:val="21"/>
                <w:highlight w:val="none"/>
              </w:rPr>
              <w:t>AT</w:t>
            </w:r>
            <w:r>
              <w:rPr>
                <w:rFonts w:hint="eastAsia" w:ascii="仿宋" w:hAnsi="仿宋" w:eastAsia="仿宋" w:cs="仿宋"/>
                <w:color w:val="auto"/>
                <w:kern w:val="0"/>
                <w:szCs w:val="21"/>
                <w:highlight w:val="none"/>
              </w:rPr>
              <w:t>命令，从而</w:t>
            </w:r>
            <w:r>
              <w:rPr>
                <w:rFonts w:hint="cs" w:ascii="仿宋" w:hAnsi="仿宋" w:eastAsia="仿宋" w:cs="仿宋"/>
                <w:color w:val="auto"/>
                <w:kern w:val="0"/>
                <w:szCs w:val="21"/>
                <w:highlight w:val="none"/>
              </w:rPr>
              <w:t>实现对</w:t>
            </w:r>
            <w:r>
              <w:rPr>
                <w:rFonts w:hint="eastAsia" w:ascii="仿宋" w:hAnsi="仿宋" w:eastAsia="仿宋" w:cs="仿宋"/>
                <w:color w:val="auto"/>
                <w:kern w:val="0"/>
                <w:szCs w:val="21"/>
                <w:highlight w:val="none"/>
              </w:rPr>
              <w:t>待</w:t>
            </w:r>
            <w:r>
              <w:rPr>
                <w:rFonts w:hint="cs" w:ascii="仿宋" w:hAnsi="仿宋" w:eastAsia="仿宋" w:cs="仿宋"/>
                <w:color w:val="auto"/>
                <w:kern w:val="0"/>
                <w:szCs w:val="21"/>
                <w:highlight w:val="none"/>
              </w:rPr>
              <w:t>测终</w:t>
            </w:r>
            <w:r>
              <w:rPr>
                <w:rFonts w:hint="eastAsia" w:ascii="仿宋" w:hAnsi="仿宋" w:eastAsia="仿宋" w:cs="仿宋"/>
                <w:color w:val="auto"/>
                <w:kern w:val="0"/>
                <w:szCs w:val="21"/>
                <w:highlight w:val="none"/>
              </w:rPr>
              <w:t>端</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w:t>
            </w:r>
            <w:r>
              <w:rPr>
                <w:rFonts w:hint="cs" w:ascii="仿宋" w:hAnsi="仿宋" w:eastAsia="仿宋" w:cs="仿宋"/>
                <w:color w:val="auto"/>
                <w:kern w:val="0"/>
                <w:szCs w:val="21"/>
                <w:highlight w:val="none"/>
              </w:rPr>
              <w:t>远</w:t>
            </w:r>
            <w:r>
              <w:rPr>
                <w:rFonts w:hint="eastAsia" w:ascii="仿宋" w:hAnsi="仿宋" w:eastAsia="仿宋" w:cs="仿宋"/>
                <w:color w:val="auto"/>
                <w:kern w:val="0"/>
                <w:szCs w:val="21"/>
                <w:highlight w:val="none"/>
              </w:rPr>
              <w:t>程控制，</w:t>
            </w:r>
            <w:r>
              <w:rPr>
                <w:rFonts w:hint="cs" w:ascii="仿宋" w:hAnsi="仿宋" w:eastAsia="仿宋" w:cs="仿宋"/>
                <w:color w:val="auto"/>
                <w:kern w:val="0"/>
                <w:szCs w:val="21"/>
                <w:highlight w:val="none"/>
              </w:rPr>
              <w:t>实现</w:t>
            </w:r>
            <w:r>
              <w:rPr>
                <w:rFonts w:hint="eastAsia" w:ascii="仿宋" w:hAnsi="仿宋" w:eastAsia="仿宋" w:cs="仿宋"/>
                <w:color w:val="auto"/>
                <w:kern w:val="0"/>
                <w:szCs w:val="21"/>
                <w:highlight w:val="none"/>
              </w:rPr>
              <w:t>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化</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w:t>
            </w:r>
          </w:p>
          <w:p w14:paraId="4728D06C">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3）支持通</w:t>
            </w:r>
            <w:r>
              <w:rPr>
                <w:rFonts w:hint="cs" w:ascii="仿宋" w:hAnsi="仿宋" w:eastAsia="仿宋" w:cs="仿宋"/>
                <w:color w:val="auto"/>
                <w:kern w:val="0"/>
                <w:szCs w:val="21"/>
                <w:highlight w:val="none"/>
              </w:rPr>
              <w:t>过设备级联</w:t>
            </w:r>
            <w:r>
              <w:rPr>
                <w:rFonts w:hint="eastAsia" w:ascii="仿宋" w:hAnsi="仿宋" w:eastAsia="仿宋" w:cs="仿宋"/>
                <w:color w:val="auto"/>
                <w:kern w:val="0"/>
                <w:szCs w:val="21"/>
                <w:highlight w:val="none"/>
              </w:rPr>
              <w:t>或者插</w:t>
            </w:r>
            <w:r>
              <w:rPr>
                <w:rFonts w:hint="cs" w:ascii="仿宋" w:hAnsi="仿宋" w:eastAsia="仿宋" w:cs="仿宋"/>
                <w:color w:val="auto"/>
                <w:kern w:val="0"/>
                <w:szCs w:val="21"/>
                <w:highlight w:val="none"/>
              </w:rPr>
              <w:t>卡</w:t>
            </w:r>
            <w:r>
              <w:rPr>
                <w:rFonts w:hint="eastAsia" w:ascii="仿宋" w:hAnsi="仿宋" w:eastAsia="仿宋" w:cs="仿宋"/>
                <w:color w:val="auto"/>
                <w:kern w:val="0"/>
                <w:szCs w:val="21"/>
                <w:highlight w:val="none"/>
              </w:rPr>
              <w:t>方式</w:t>
            </w:r>
            <w:r>
              <w:rPr>
                <w:rFonts w:hint="cs" w:ascii="仿宋" w:hAnsi="仿宋" w:eastAsia="仿宋" w:cs="仿宋"/>
                <w:color w:val="auto"/>
                <w:kern w:val="0"/>
                <w:szCs w:val="21"/>
                <w:highlight w:val="none"/>
              </w:rPr>
              <w:t>实现</w:t>
            </w:r>
            <w:r>
              <w:rPr>
                <w:rFonts w:hint="eastAsia" w:ascii="仿宋" w:hAnsi="仿宋" w:eastAsia="仿宋" w:cs="仿宋"/>
                <w:color w:val="auto"/>
                <w:kern w:val="0"/>
                <w:szCs w:val="21"/>
                <w:highlight w:val="none"/>
              </w:rPr>
              <w:t>小区数量的</w:t>
            </w:r>
            <w:r>
              <w:rPr>
                <w:rFonts w:hint="cs" w:ascii="仿宋" w:hAnsi="仿宋" w:eastAsia="仿宋" w:cs="仿宋"/>
                <w:color w:val="auto"/>
                <w:kern w:val="0"/>
                <w:szCs w:val="21"/>
                <w:highlight w:val="none"/>
              </w:rPr>
              <w:t>扩</w:t>
            </w:r>
            <w:r>
              <w:rPr>
                <w:rFonts w:hint="eastAsia" w:ascii="仿宋" w:hAnsi="仿宋" w:eastAsia="仿宋" w:cs="仿宋"/>
                <w:color w:val="auto"/>
                <w:kern w:val="0"/>
                <w:szCs w:val="21"/>
                <w:highlight w:val="none"/>
              </w:rPr>
              <w:t>展。</w:t>
            </w:r>
          </w:p>
          <w:p w14:paraId="03D09F39">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4）基于</w:t>
            </w:r>
            <w:r>
              <w:rPr>
                <w:rFonts w:hint="cs" w:ascii="仿宋" w:hAnsi="仿宋" w:eastAsia="仿宋" w:cs="仿宋"/>
                <w:color w:val="auto"/>
                <w:kern w:val="0"/>
                <w:szCs w:val="21"/>
                <w:highlight w:val="none"/>
              </w:rPr>
              <w:t>图</w:t>
            </w:r>
            <w:r>
              <w:rPr>
                <w:rFonts w:hint="eastAsia" w:ascii="仿宋" w:hAnsi="仿宋" w:eastAsia="仿宋" w:cs="仿宋"/>
                <w:color w:val="auto"/>
                <w:kern w:val="0"/>
                <w:szCs w:val="21"/>
                <w:highlight w:val="none"/>
              </w:rPr>
              <w:t>形化界面。</w:t>
            </w:r>
          </w:p>
          <w:p w14:paraId="7578F4F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不需要</w:t>
            </w:r>
            <w:r>
              <w:rPr>
                <w:rFonts w:hint="cs" w:ascii="仿宋" w:hAnsi="仿宋" w:eastAsia="仿宋" w:cs="仿宋"/>
                <w:color w:val="auto"/>
                <w:kern w:val="0"/>
                <w:szCs w:val="21"/>
                <w:highlight w:val="none"/>
              </w:rPr>
              <w:t>额</w:t>
            </w:r>
            <w:r>
              <w:rPr>
                <w:rFonts w:hint="eastAsia" w:ascii="仿宋" w:hAnsi="仿宋" w:eastAsia="仿宋" w:cs="仿宋"/>
                <w:color w:val="auto"/>
                <w:kern w:val="0"/>
                <w:szCs w:val="21"/>
                <w:highlight w:val="none"/>
              </w:rPr>
              <w:t>外的校准</w:t>
            </w:r>
            <w:r>
              <w:rPr>
                <w:rFonts w:hint="cs" w:ascii="仿宋" w:hAnsi="仿宋" w:eastAsia="仿宋" w:cs="仿宋"/>
                <w:color w:val="auto"/>
                <w:kern w:val="0"/>
                <w:szCs w:val="21"/>
                <w:highlight w:val="none"/>
              </w:rPr>
              <w:t>设备</w:t>
            </w:r>
            <w:r>
              <w:rPr>
                <w:rFonts w:hint="eastAsia" w:ascii="仿宋" w:hAnsi="仿宋" w:eastAsia="仿宋" w:cs="仿宋"/>
                <w:color w:val="auto"/>
                <w:kern w:val="0"/>
                <w:szCs w:val="21"/>
                <w:highlight w:val="none"/>
              </w:rPr>
              <w:t>和</w:t>
            </w:r>
            <w:r>
              <w:rPr>
                <w:rFonts w:hint="cs" w:ascii="仿宋" w:hAnsi="仿宋" w:eastAsia="仿宋" w:cs="仿宋"/>
                <w:color w:val="auto"/>
                <w:kern w:val="0"/>
                <w:szCs w:val="21"/>
                <w:highlight w:val="none"/>
              </w:rPr>
              <w:t>专业</w:t>
            </w:r>
            <w:r>
              <w:rPr>
                <w:rFonts w:hint="eastAsia" w:ascii="仿宋" w:hAnsi="仿宋" w:eastAsia="仿宋" w:cs="仿宋"/>
                <w:color w:val="auto"/>
                <w:kern w:val="0"/>
                <w:szCs w:val="21"/>
                <w:highlight w:val="none"/>
              </w:rPr>
              <w:t>技</w:t>
            </w:r>
            <w:r>
              <w:rPr>
                <w:rFonts w:hint="cs" w:ascii="仿宋" w:hAnsi="仿宋" w:eastAsia="仿宋" w:cs="仿宋"/>
                <w:color w:val="auto"/>
                <w:kern w:val="0"/>
                <w:szCs w:val="21"/>
                <w:highlight w:val="none"/>
              </w:rPr>
              <w:t>术</w:t>
            </w:r>
            <w:r>
              <w:rPr>
                <w:rFonts w:hint="eastAsia" w:ascii="仿宋" w:hAnsi="仿宋" w:eastAsia="仿宋" w:cs="仿宋"/>
                <w:color w:val="auto"/>
                <w:kern w:val="0"/>
                <w:szCs w:val="21"/>
                <w:highlight w:val="none"/>
              </w:rPr>
              <w:t>支持人</w:t>
            </w:r>
            <w:r>
              <w:rPr>
                <w:rFonts w:hint="cs" w:ascii="仿宋" w:hAnsi="仿宋" w:eastAsia="仿宋" w:cs="仿宋"/>
                <w:color w:val="auto"/>
                <w:kern w:val="0"/>
                <w:szCs w:val="21"/>
                <w:highlight w:val="none"/>
              </w:rPr>
              <w:t>员</w:t>
            </w:r>
            <w:r>
              <w:rPr>
                <w:rFonts w:hint="eastAsia" w:ascii="仿宋" w:hAnsi="仿宋" w:eastAsia="仿宋" w:cs="仿宋"/>
                <w:color w:val="auto"/>
                <w:kern w:val="0"/>
                <w:szCs w:val="21"/>
                <w:highlight w:val="none"/>
              </w:rPr>
              <w:t>，可自</w:t>
            </w:r>
            <w:r>
              <w:rPr>
                <w:rFonts w:hint="cs" w:ascii="仿宋" w:hAnsi="仿宋" w:eastAsia="仿宋" w:cs="仿宋"/>
                <w:color w:val="auto"/>
                <w:kern w:val="0"/>
                <w:szCs w:val="21"/>
                <w:highlight w:val="none"/>
              </w:rPr>
              <w:t>动进</w:t>
            </w:r>
            <w:r>
              <w:rPr>
                <w:rFonts w:hint="eastAsia" w:ascii="仿宋" w:hAnsi="仿宋" w:eastAsia="仿宋" w:cs="仿宋"/>
                <w:color w:val="auto"/>
                <w:kern w:val="0"/>
                <w:szCs w:val="21"/>
                <w:highlight w:val="none"/>
              </w:rPr>
              <w:t>行射</w:t>
            </w:r>
            <w:r>
              <w:rPr>
                <w:rFonts w:hint="cs" w:ascii="仿宋" w:hAnsi="仿宋" w:eastAsia="仿宋" w:cs="仿宋"/>
                <w:color w:val="auto"/>
                <w:kern w:val="0"/>
                <w:szCs w:val="21"/>
                <w:highlight w:val="none"/>
              </w:rPr>
              <w:t>频链</w:t>
            </w:r>
            <w:r>
              <w:rPr>
                <w:rFonts w:hint="eastAsia" w:ascii="仿宋" w:hAnsi="仿宋" w:eastAsia="仿宋" w:cs="仿宋"/>
                <w:color w:val="auto"/>
                <w:kern w:val="0"/>
                <w:szCs w:val="21"/>
                <w:highlight w:val="none"/>
              </w:rPr>
              <w:t>路的校准功能。</w:t>
            </w:r>
          </w:p>
          <w:p w14:paraId="3C5AAED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cs" w:ascii="仿宋" w:hAnsi="仿宋" w:eastAsia="仿宋" w:cs="仿宋"/>
                <w:color w:val="auto"/>
                <w:kern w:val="0"/>
                <w:szCs w:val="21"/>
                <w:highlight w:val="none"/>
              </w:rPr>
              <w:t>为</w:t>
            </w:r>
            <w:r>
              <w:rPr>
                <w:rFonts w:hint="eastAsia" w:ascii="仿宋" w:hAnsi="仿宋" w:eastAsia="仿宋" w:cs="仿宋"/>
                <w:color w:val="auto"/>
                <w:kern w:val="0"/>
                <w:szCs w:val="21"/>
                <w:highlight w:val="none"/>
              </w:rPr>
              <w:t>了保</w:t>
            </w:r>
            <w:r>
              <w:rPr>
                <w:rFonts w:hint="cs" w:ascii="仿宋" w:hAnsi="仿宋" w:eastAsia="仿宋" w:cs="仿宋"/>
                <w:color w:val="auto"/>
                <w:kern w:val="0"/>
                <w:szCs w:val="21"/>
                <w:highlight w:val="none"/>
              </w:rPr>
              <w:t>证测试</w:t>
            </w:r>
            <w:r>
              <w:rPr>
                <w:rFonts w:hint="eastAsia" w:ascii="仿宋" w:hAnsi="仿宋" w:eastAsia="仿宋" w:cs="仿宋"/>
                <w:color w:val="auto"/>
                <w:kern w:val="0"/>
                <w:szCs w:val="21"/>
                <w:highlight w:val="none"/>
              </w:rPr>
              <w:t>的可靠性和准</w:t>
            </w:r>
            <w:r>
              <w:rPr>
                <w:rFonts w:hint="cs" w:ascii="仿宋" w:hAnsi="仿宋" w:eastAsia="仿宋" w:cs="仿宋"/>
                <w:color w:val="auto"/>
                <w:kern w:val="0"/>
                <w:szCs w:val="21"/>
                <w:highlight w:val="none"/>
              </w:rPr>
              <w:t>确</w:t>
            </w:r>
            <w:r>
              <w:rPr>
                <w:rFonts w:hint="eastAsia" w:ascii="仿宋" w:hAnsi="仿宋" w:eastAsia="仿宋" w:cs="仿宋"/>
                <w:color w:val="auto"/>
                <w:kern w:val="0"/>
                <w:szCs w:val="21"/>
                <w:highlight w:val="none"/>
              </w:rPr>
              <w:t>性，系</w:t>
            </w:r>
            <w:r>
              <w:rPr>
                <w:rFonts w:hint="cs" w:ascii="仿宋" w:hAnsi="仿宋" w:eastAsia="仿宋" w:cs="仿宋"/>
                <w:color w:val="auto"/>
                <w:kern w:val="0"/>
                <w:szCs w:val="21"/>
                <w:highlight w:val="none"/>
              </w:rPr>
              <w:t>统测</w:t>
            </w:r>
            <w:r>
              <w:rPr>
                <w:rFonts w:hint="eastAsia" w:ascii="仿宋" w:hAnsi="仿宋" w:eastAsia="仿宋" w:cs="仿宋"/>
                <w:color w:val="auto"/>
                <w:kern w:val="0"/>
                <w:szCs w:val="21"/>
                <w:highlight w:val="none"/>
              </w:rPr>
              <w:t>量不</w:t>
            </w:r>
            <w:r>
              <w:rPr>
                <w:rFonts w:hint="cs" w:ascii="仿宋" w:hAnsi="仿宋" w:eastAsia="仿宋" w:cs="仿宋"/>
                <w:color w:val="auto"/>
                <w:kern w:val="0"/>
                <w:szCs w:val="21"/>
                <w:highlight w:val="none"/>
              </w:rPr>
              <w:t>确</w:t>
            </w:r>
            <w:r>
              <w:rPr>
                <w:rFonts w:hint="eastAsia" w:ascii="仿宋" w:hAnsi="仿宋" w:eastAsia="仿宋" w:cs="仿宋"/>
                <w:color w:val="auto"/>
                <w:kern w:val="0"/>
                <w:szCs w:val="21"/>
                <w:highlight w:val="none"/>
              </w:rPr>
              <w:t>定度</w:t>
            </w:r>
            <w:r>
              <w:rPr>
                <w:rFonts w:hint="cs" w:ascii="仿宋" w:hAnsi="仿宋" w:eastAsia="仿宋" w:cs="仿宋"/>
                <w:color w:val="auto"/>
                <w:kern w:val="0"/>
                <w:szCs w:val="21"/>
                <w:highlight w:val="none"/>
              </w:rPr>
              <w:t>应满</w:t>
            </w:r>
            <w:r>
              <w:rPr>
                <w:rFonts w:hint="eastAsia" w:ascii="仿宋" w:hAnsi="仿宋" w:eastAsia="仿宋" w:cs="仿宋"/>
                <w:color w:val="auto"/>
                <w:kern w:val="0"/>
                <w:szCs w:val="21"/>
                <w:highlight w:val="none"/>
              </w:rPr>
              <w:t>足</w:t>
            </w:r>
            <w:r>
              <w:rPr>
                <w:rFonts w:ascii="仿宋" w:hAnsi="仿宋" w:eastAsia="仿宋" w:cs="仿宋"/>
                <w:color w:val="auto"/>
                <w:kern w:val="0"/>
                <w:szCs w:val="21"/>
                <w:highlight w:val="none"/>
              </w:rPr>
              <w:t>3GPP</w:t>
            </w:r>
            <w:r>
              <w:rPr>
                <w:rFonts w:hint="cs" w:ascii="仿宋" w:hAnsi="仿宋" w:eastAsia="仿宋" w:cs="仿宋"/>
                <w:color w:val="auto"/>
                <w:kern w:val="0"/>
                <w:szCs w:val="21"/>
                <w:highlight w:val="none"/>
              </w:rPr>
              <w:t>标</w:t>
            </w:r>
            <w:r>
              <w:rPr>
                <w:rFonts w:hint="eastAsia" w:ascii="仿宋" w:hAnsi="仿宋" w:eastAsia="仿宋" w:cs="仿宋"/>
                <w:color w:val="auto"/>
                <w:kern w:val="0"/>
                <w:szCs w:val="21"/>
                <w:highlight w:val="none"/>
              </w:rPr>
              <w:t>准要求。</w:t>
            </w:r>
          </w:p>
          <w:p w14:paraId="7DF1C1AB">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5.</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统软</w:t>
            </w:r>
            <w:r>
              <w:rPr>
                <w:rFonts w:hint="eastAsia" w:ascii="仿宋" w:hAnsi="仿宋" w:eastAsia="仿宋" w:cs="仿宋"/>
                <w:color w:val="auto"/>
                <w:kern w:val="0"/>
                <w:szCs w:val="21"/>
                <w:highlight w:val="none"/>
              </w:rPr>
              <w:t>件要求，并提供测试报告、测试系统整体搭建图片，软件界面截图</w:t>
            </w:r>
            <w:r>
              <w:rPr>
                <w:rFonts w:hint="eastAsia" w:ascii="仿宋" w:hAnsi="仿宋" w:eastAsia="仿宋" w:cs="仿宋"/>
                <w:color w:val="auto"/>
                <w:kern w:val="0"/>
                <w:szCs w:val="21"/>
                <w:highlight w:val="none"/>
                <w:lang w:eastAsia="zh-CN"/>
              </w:rPr>
              <w:t>。</w:t>
            </w:r>
          </w:p>
          <w:p w14:paraId="3E9FC85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1）在完成一次硬件</w:t>
            </w:r>
            <w:r>
              <w:rPr>
                <w:rFonts w:hint="cs" w:ascii="仿宋" w:hAnsi="仿宋" w:eastAsia="仿宋" w:cs="仿宋"/>
                <w:color w:val="auto"/>
                <w:kern w:val="0"/>
                <w:szCs w:val="21"/>
                <w:highlight w:val="none"/>
              </w:rPr>
              <w:t>连</w:t>
            </w:r>
            <w:r>
              <w:rPr>
                <w:rFonts w:hint="eastAsia" w:ascii="仿宋" w:hAnsi="仿宋" w:eastAsia="仿宋" w:cs="仿宋"/>
                <w:color w:val="auto"/>
                <w:kern w:val="0"/>
                <w:szCs w:val="21"/>
                <w:highlight w:val="none"/>
              </w:rPr>
              <w:t>接后，</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完全由</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件来</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行控制，最</w:t>
            </w:r>
            <w:r>
              <w:rPr>
                <w:rFonts w:hint="cs" w:ascii="仿宋" w:hAnsi="仿宋" w:eastAsia="仿宋" w:cs="仿宋"/>
                <w:color w:val="auto"/>
                <w:kern w:val="0"/>
                <w:szCs w:val="21"/>
                <w:highlight w:val="none"/>
              </w:rPr>
              <w:t>终</w:t>
            </w:r>
            <w:r>
              <w:rPr>
                <w:rFonts w:hint="eastAsia" w:ascii="仿宋" w:hAnsi="仿宋" w:eastAsia="仿宋" w:cs="仿宋"/>
                <w:color w:val="auto"/>
                <w:kern w:val="0"/>
                <w:szCs w:val="21"/>
                <w:highlight w:val="none"/>
              </w:rPr>
              <w:t>出具完整、清晰的</w:t>
            </w:r>
            <w:r>
              <w:rPr>
                <w:rFonts w:hint="cs" w:ascii="仿宋" w:hAnsi="仿宋" w:eastAsia="仿宋" w:cs="仿宋"/>
                <w:color w:val="auto"/>
                <w:kern w:val="0"/>
                <w:szCs w:val="21"/>
                <w:highlight w:val="none"/>
              </w:rPr>
              <w:t>电</w:t>
            </w:r>
            <w:r>
              <w:rPr>
                <w:rFonts w:hint="eastAsia" w:ascii="仿宋" w:hAnsi="仿宋" w:eastAsia="仿宋" w:cs="仿宋"/>
                <w:color w:val="auto"/>
                <w:kern w:val="0"/>
                <w:szCs w:val="21"/>
                <w:highlight w:val="none"/>
              </w:rPr>
              <w:t>子版</w:t>
            </w:r>
            <w:r>
              <w:rPr>
                <w:rFonts w:hint="cs" w:ascii="仿宋" w:hAnsi="仿宋" w:eastAsia="仿宋" w:cs="仿宋"/>
                <w:color w:val="auto"/>
                <w:kern w:val="0"/>
                <w:szCs w:val="21"/>
                <w:highlight w:val="none"/>
              </w:rPr>
              <w:t>测试报</w:t>
            </w:r>
            <w:r>
              <w:rPr>
                <w:rFonts w:hint="eastAsia" w:ascii="仿宋" w:hAnsi="仿宋" w:eastAsia="仿宋" w:cs="仿宋"/>
                <w:color w:val="auto"/>
                <w:kern w:val="0"/>
                <w:szCs w:val="21"/>
                <w:highlight w:val="none"/>
              </w:rPr>
              <w:t>告，使操作者无需</w:t>
            </w:r>
            <w:r>
              <w:rPr>
                <w:rFonts w:hint="cs" w:ascii="仿宋" w:hAnsi="仿宋" w:eastAsia="仿宋" w:cs="仿宋"/>
                <w:color w:val="auto"/>
                <w:kern w:val="0"/>
                <w:szCs w:val="21"/>
                <w:highlight w:val="none"/>
              </w:rPr>
              <w:t>对</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统进</w:t>
            </w:r>
            <w:r>
              <w:rPr>
                <w:rFonts w:hint="eastAsia" w:ascii="仿宋" w:hAnsi="仿宋" w:eastAsia="仿宋" w:cs="仿宋"/>
                <w:color w:val="auto"/>
                <w:kern w:val="0"/>
                <w:szCs w:val="21"/>
                <w:highlight w:val="none"/>
              </w:rPr>
              <w:t>行手</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操作和</w:t>
            </w:r>
            <w:r>
              <w:rPr>
                <w:rFonts w:hint="cs" w:ascii="仿宋" w:hAnsi="仿宋" w:eastAsia="仿宋" w:cs="仿宋"/>
                <w:color w:val="auto"/>
                <w:kern w:val="0"/>
                <w:szCs w:val="21"/>
                <w:highlight w:val="none"/>
              </w:rPr>
              <w:t>设</w:t>
            </w:r>
            <w:r>
              <w:rPr>
                <w:rFonts w:hint="eastAsia" w:ascii="仿宋" w:hAnsi="仿宋" w:eastAsia="仿宋" w:cs="仿宋"/>
                <w:color w:val="auto"/>
                <w:kern w:val="0"/>
                <w:szCs w:val="21"/>
                <w:highlight w:val="none"/>
              </w:rPr>
              <w:t>置。</w:t>
            </w:r>
          </w:p>
          <w:p w14:paraId="12D577F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2）具有</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用例的</w:t>
            </w:r>
            <w:r>
              <w:rPr>
                <w:rFonts w:hint="cs" w:ascii="仿宋" w:hAnsi="仿宋" w:eastAsia="仿宋" w:cs="仿宋"/>
                <w:color w:val="auto"/>
                <w:kern w:val="0"/>
                <w:szCs w:val="21"/>
                <w:highlight w:val="none"/>
              </w:rPr>
              <w:t>开</w:t>
            </w:r>
            <w:r>
              <w:rPr>
                <w:rFonts w:hint="eastAsia" w:ascii="仿宋" w:hAnsi="仿宋" w:eastAsia="仿宋" w:cs="仿宋"/>
                <w:color w:val="auto"/>
                <w:kern w:val="0"/>
                <w:szCs w:val="21"/>
                <w:highlight w:val="none"/>
              </w:rPr>
              <w:t>始、停止、</w:t>
            </w:r>
            <w:r>
              <w:rPr>
                <w:rFonts w:hint="cs" w:ascii="仿宋" w:hAnsi="仿宋" w:eastAsia="仿宋" w:cs="仿宋"/>
                <w:color w:val="auto"/>
                <w:kern w:val="0"/>
                <w:szCs w:val="21"/>
                <w:highlight w:val="none"/>
              </w:rPr>
              <w:t>暂</w:t>
            </w:r>
            <w:r>
              <w:rPr>
                <w:rFonts w:hint="eastAsia" w:ascii="仿宋" w:hAnsi="仿宋" w:eastAsia="仿宋" w:cs="仿宋"/>
                <w:color w:val="auto"/>
                <w:kern w:val="0"/>
                <w:szCs w:val="21"/>
                <w:highlight w:val="none"/>
              </w:rPr>
              <w:t>停和</w:t>
            </w:r>
            <w:r>
              <w:rPr>
                <w:rFonts w:hint="cs" w:ascii="仿宋" w:hAnsi="仿宋" w:eastAsia="仿宋" w:cs="仿宋"/>
                <w:color w:val="auto"/>
                <w:kern w:val="0"/>
                <w:szCs w:val="21"/>
                <w:highlight w:val="none"/>
              </w:rPr>
              <w:t>继续</w:t>
            </w:r>
            <w:r>
              <w:rPr>
                <w:rFonts w:hint="eastAsia" w:ascii="仿宋" w:hAnsi="仿宋" w:eastAsia="仿宋" w:cs="仿宋"/>
                <w:color w:val="auto"/>
                <w:kern w:val="0"/>
                <w:szCs w:val="21"/>
                <w:highlight w:val="none"/>
              </w:rPr>
              <w:t>功能，具有</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用例失</w:t>
            </w:r>
            <w:r>
              <w:rPr>
                <w:rFonts w:hint="cs" w:ascii="仿宋" w:hAnsi="仿宋" w:eastAsia="仿宋" w:cs="仿宋"/>
                <w:color w:val="auto"/>
                <w:kern w:val="0"/>
                <w:szCs w:val="21"/>
                <w:highlight w:val="none"/>
              </w:rPr>
              <w:t>败</w:t>
            </w:r>
            <w:r>
              <w:rPr>
                <w:rFonts w:hint="eastAsia" w:ascii="仿宋" w:hAnsi="仿宋" w:eastAsia="仿宋" w:cs="仿宋"/>
                <w:color w:val="auto"/>
                <w:kern w:val="0"/>
                <w:szCs w:val="21"/>
                <w:highlight w:val="none"/>
              </w:rPr>
              <w:t>自</w:t>
            </w:r>
            <w:r>
              <w:rPr>
                <w:rFonts w:hint="cs" w:ascii="仿宋" w:hAnsi="仿宋" w:eastAsia="仿宋" w:cs="仿宋"/>
                <w:color w:val="auto"/>
                <w:kern w:val="0"/>
                <w:szCs w:val="21"/>
                <w:highlight w:val="none"/>
              </w:rPr>
              <w:t>动诊</w:t>
            </w:r>
            <w:r>
              <w:rPr>
                <w:rFonts w:hint="eastAsia" w:ascii="仿宋" w:hAnsi="仿宋" w:eastAsia="仿宋" w:cs="仿宋"/>
                <w:color w:val="auto"/>
                <w:kern w:val="0"/>
                <w:szCs w:val="21"/>
                <w:highlight w:val="none"/>
              </w:rPr>
              <w:t>断功能。</w:t>
            </w:r>
          </w:p>
          <w:p w14:paraId="226807B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3）可以</w:t>
            </w:r>
            <w:r>
              <w:rPr>
                <w:rFonts w:hint="cs" w:ascii="仿宋" w:hAnsi="仿宋" w:eastAsia="仿宋" w:cs="仿宋"/>
                <w:color w:val="auto"/>
                <w:kern w:val="0"/>
                <w:szCs w:val="21"/>
                <w:highlight w:val="none"/>
              </w:rPr>
              <w:t>选择单</w:t>
            </w:r>
            <w:r>
              <w:rPr>
                <w:rFonts w:hint="eastAsia" w:ascii="仿宋" w:hAnsi="仿宋" w:eastAsia="仿宋" w:cs="仿宋"/>
                <w:color w:val="auto"/>
                <w:kern w:val="0"/>
                <w:szCs w:val="21"/>
                <w:highlight w:val="none"/>
              </w:rPr>
              <w:t>个</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w:t>
            </w:r>
            <w:r>
              <w:rPr>
                <w:rFonts w:hint="cs" w:ascii="仿宋" w:hAnsi="仿宋" w:eastAsia="仿宋" w:cs="仿宋"/>
                <w:color w:val="auto"/>
                <w:kern w:val="0"/>
                <w:szCs w:val="21"/>
                <w:highlight w:val="none"/>
              </w:rPr>
              <w:t>运</w:t>
            </w:r>
            <w:r>
              <w:rPr>
                <w:rFonts w:hint="eastAsia" w:ascii="仿宋" w:hAnsi="仿宋" w:eastAsia="仿宋" w:cs="仿宋"/>
                <w:color w:val="auto"/>
                <w:kern w:val="0"/>
                <w:szCs w:val="21"/>
                <w:highlight w:val="none"/>
              </w:rPr>
              <w:t>行，也可以</w:t>
            </w:r>
            <w:r>
              <w:rPr>
                <w:rFonts w:hint="cs" w:ascii="仿宋" w:hAnsi="仿宋" w:eastAsia="仿宋" w:cs="仿宋"/>
                <w:color w:val="auto"/>
                <w:kern w:val="0"/>
                <w:szCs w:val="21"/>
                <w:highlight w:val="none"/>
              </w:rPr>
              <w:t>选择</w:t>
            </w:r>
            <w:r>
              <w:rPr>
                <w:rFonts w:hint="eastAsia" w:ascii="仿宋" w:hAnsi="仿宋" w:eastAsia="仿宋" w:cs="仿宋"/>
                <w:color w:val="auto"/>
                <w:kern w:val="0"/>
                <w:szCs w:val="21"/>
                <w:highlight w:val="none"/>
              </w:rPr>
              <w:t>多个</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w:t>
            </w:r>
            <w:r>
              <w:rPr>
                <w:rFonts w:hint="cs" w:ascii="仿宋" w:hAnsi="仿宋" w:eastAsia="仿宋" w:cs="仿宋"/>
                <w:color w:val="auto"/>
                <w:kern w:val="0"/>
                <w:szCs w:val="21"/>
                <w:highlight w:val="none"/>
              </w:rPr>
              <w:t>进</w:t>
            </w:r>
            <w:r>
              <w:rPr>
                <w:rFonts w:hint="eastAsia" w:ascii="仿宋" w:hAnsi="仿宋" w:eastAsia="仿宋" w:cs="仿宋"/>
                <w:color w:val="auto"/>
                <w:kern w:val="0"/>
                <w:szCs w:val="21"/>
                <w:highlight w:val="none"/>
              </w:rPr>
              <w:t>行</w:t>
            </w:r>
            <w:r>
              <w:rPr>
                <w:rFonts w:hint="cs" w:ascii="仿宋" w:hAnsi="仿宋" w:eastAsia="仿宋" w:cs="仿宋"/>
                <w:color w:val="auto"/>
                <w:kern w:val="0"/>
                <w:szCs w:val="21"/>
                <w:highlight w:val="none"/>
              </w:rPr>
              <w:t>连续测试</w:t>
            </w:r>
            <w:r>
              <w:rPr>
                <w:rFonts w:hint="eastAsia" w:ascii="仿宋" w:hAnsi="仿宋" w:eastAsia="仿宋" w:cs="仿宋"/>
                <w:color w:val="auto"/>
                <w:kern w:val="0"/>
                <w:szCs w:val="21"/>
                <w:highlight w:val="none"/>
              </w:rPr>
              <w:t>。</w:t>
            </w:r>
          </w:p>
          <w:p w14:paraId="0BFCA7D0">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件可以将采集的</w:t>
            </w:r>
            <w:r>
              <w:rPr>
                <w:rFonts w:hint="cs" w:ascii="仿宋" w:hAnsi="仿宋" w:eastAsia="仿宋" w:cs="仿宋"/>
                <w:color w:val="auto"/>
                <w:kern w:val="0"/>
                <w:szCs w:val="21"/>
                <w:highlight w:val="none"/>
              </w:rPr>
              <w:t>测试结</w:t>
            </w:r>
            <w:r>
              <w:rPr>
                <w:rFonts w:hint="eastAsia" w:ascii="仿宋" w:hAnsi="仿宋" w:eastAsia="仿宋" w:cs="仿宋"/>
                <w:color w:val="auto"/>
                <w:kern w:val="0"/>
                <w:szCs w:val="21"/>
                <w:highlight w:val="none"/>
              </w:rPr>
              <w:t>果以数据和</w:t>
            </w:r>
            <w:r>
              <w:rPr>
                <w:rFonts w:hint="cs" w:ascii="仿宋" w:hAnsi="仿宋" w:eastAsia="仿宋" w:cs="仿宋"/>
                <w:color w:val="auto"/>
                <w:kern w:val="0"/>
                <w:szCs w:val="21"/>
                <w:highlight w:val="none"/>
              </w:rPr>
              <w:t>图</w:t>
            </w:r>
            <w:r>
              <w:rPr>
                <w:rFonts w:hint="eastAsia" w:ascii="仿宋" w:hAnsi="仿宋" w:eastAsia="仿宋" w:cs="仿宋"/>
                <w:color w:val="auto"/>
                <w:kern w:val="0"/>
                <w:szCs w:val="21"/>
                <w:highlight w:val="none"/>
              </w:rPr>
              <w:t>表的形式</w:t>
            </w:r>
            <w:r>
              <w:rPr>
                <w:rFonts w:hint="cs" w:ascii="仿宋" w:hAnsi="仿宋" w:eastAsia="仿宋" w:cs="仿宋"/>
                <w:color w:val="auto"/>
                <w:kern w:val="0"/>
                <w:szCs w:val="21"/>
                <w:highlight w:val="none"/>
              </w:rPr>
              <w:t>显</w:t>
            </w:r>
            <w:r>
              <w:rPr>
                <w:rFonts w:hint="eastAsia" w:ascii="仿宋" w:hAnsi="仿宋" w:eastAsia="仿宋" w:cs="仿宋"/>
                <w:color w:val="auto"/>
                <w:kern w:val="0"/>
                <w:szCs w:val="21"/>
                <w:highlight w:val="none"/>
              </w:rPr>
              <w:t>示，并且自</w:t>
            </w:r>
            <w:r>
              <w:rPr>
                <w:rFonts w:hint="cs" w:ascii="仿宋" w:hAnsi="仿宋" w:eastAsia="仿宋" w:cs="仿宋"/>
                <w:color w:val="auto"/>
                <w:kern w:val="0"/>
                <w:szCs w:val="21"/>
                <w:highlight w:val="none"/>
              </w:rPr>
              <w:t>动进</w:t>
            </w:r>
            <w:r>
              <w:rPr>
                <w:rFonts w:hint="eastAsia" w:ascii="仿宋" w:hAnsi="仿宋" w:eastAsia="仿宋" w:cs="仿宋"/>
                <w:color w:val="auto"/>
                <w:kern w:val="0"/>
                <w:szCs w:val="21"/>
                <w:highlight w:val="none"/>
              </w:rPr>
              <w:t>行</w:t>
            </w:r>
            <w:r>
              <w:rPr>
                <w:rFonts w:hint="cs" w:ascii="仿宋" w:hAnsi="仿宋" w:eastAsia="仿宋" w:cs="仿宋"/>
                <w:color w:val="auto"/>
                <w:kern w:val="0"/>
                <w:szCs w:val="21"/>
                <w:highlight w:val="none"/>
              </w:rPr>
              <w:t>链</w:t>
            </w:r>
            <w:r>
              <w:rPr>
                <w:rFonts w:hint="eastAsia" w:ascii="仿宋" w:hAnsi="仿宋" w:eastAsia="仿宋" w:cs="仿宋"/>
                <w:color w:val="auto"/>
                <w:kern w:val="0"/>
                <w:szCs w:val="21"/>
                <w:highlight w:val="none"/>
              </w:rPr>
              <w:t>路衰</w:t>
            </w:r>
            <w:r>
              <w:rPr>
                <w:rFonts w:hint="cs" w:ascii="仿宋" w:hAnsi="仿宋" w:eastAsia="仿宋" w:cs="仿宋"/>
                <w:color w:val="auto"/>
                <w:kern w:val="0"/>
                <w:szCs w:val="21"/>
                <w:highlight w:val="none"/>
              </w:rPr>
              <w:t>减补偿</w:t>
            </w:r>
            <w:r>
              <w:rPr>
                <w:rFonts w:hint="eastAsia" w:ascii="仿宋" w:hAnsi="仿宋" w:eastAsia="仿宋" w:cs="仿宋"/>
                <w:color w:val="auto"/>
                <w:kern w:val="0"/>
                <w:szCs w:val="21"/>
                <w:highlight w:val="none"/>
              </w:rPr>
              <w:t>等数据</w:t>
            </w:r>
            <w:r>
              <w:rPr>
                <w:rFonts w:hint="cs" w:ascii="仿宋" w:hAnsi="仿宋" w:eastAsia="仿宋" w:cs="仿宋"/>
                <w:color w:val="auto"/>
                <w:kern w:val="0"/>
                <w:szCs w:val="21"/>
                <w:highlight w:val="none"/>
              </w:rPr>
              <w:t>处</w:t>
            </w:r>
            <w:r>
              <w:rPr>
                <w:rFonts w:hint="eastAsia" w:ascii="仿宋" w:hAnsi="仿宋" w:eastAsia="仿宋" w:cs="仿宋"/>
                <w:color w:val="auto"/>
                <w:kern w:val="0"/>
                <w:szCs w:val="21"/>
                <w:highlight w:val="none"/>
              </w:rPr>
              <w:t>理，自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判定</w:t>
            </w:r>
            <w:r>
              <w:rPr>
                <w:rFonts w:hint="cs" w:ascii="仿宋" w:hAnsi="仿宋" w:eastAsia="仿宋" w:cs="仿宋"/>
                <w:color w:val="auto"/>
                <w:kern w:val="0"/>
                <w:szCs w:val="21"/>
                <w:highlight w:val="none"/>
              </w:rPr>
              <w:t>测试结</w:t>
            </w:r>
            <w:r>
              <w:rPr>
                <w:rFonts w:hint="eastAsia" w:ascii="仿宋" w:hAnsi="仿宋" w:eastAsia="仿宋" w:cs="仿宋"/>
                <w:color w:val="auto"/>
                <w:kern w:val="0"/>
                <w:szCs w:val="21"/>
                <w:highlight w:val="none"/>
              </w:rPr>
              <w:t>果是否</w:t>
            </w:r>
            <w:r>
              <w:rPr>
                <w:rFonts w:hint="cs" w:ascii="仿宋" w:hAnsi="仿宋" w:eastAsia="仿宋" w:cs="仿宋"/>
                <w:color w:val="auto"/>
                <w:kern w:val="0"/>
                <w:szCs w:val="21"/>
                <w:highlight w:val="none"/>
              </w:rPr>
              <w:t>达标</w:t>
            </w:r>
            <w:r>
              <w:rPr>
                <w:rFonts w:hint="eastAsia" w:ascii="仿宋" w:hAnsi="仿宋" w:eastAsia="仿宋" w:cs="仿宋"/>
                <w:color w:val="auto"/>
                <w:kern w:val="0"/>
                <w:szCs w:val="21"/>
                <w:highlight w:val="none"/>
              </w:rPr>
              <w:t>。</w:t>
            </w:r>
          </w:p>
          <w:p w14:paraId="76BE901B">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5）信令流程</w:t>
            </w:r>
            <w:r>
              <w:rPr>
                <w:rFonts w:hint="cs" w:ascii="仿宋" w:hAnsi="仿宋" w:eastAsia="仿宋" w:cs="仿宋"/>
                <w:color w:val="auto"/>
                <w:kern w:val="0"/>
                <w:szCs w:val="21"/>
                <w:highlight w:val="none"/>
              </w:rPr>
              <w:t>输</w:t>
            </w:r>
            <w:r>
              <w:rPr>
                <w:rFonts w:hint="eastAsia" w:ascii="仿宋" w:hAnsi="仿宋" w:eastAsia="仿宋" w:cs="仿宋"/>
                <w:color w:val="auto"/>
                <w:kern w:val="0"/>
                <w:szCs w:val="21"/>
                <w:highlight w:val="none"/>
              </w:rPr>
              <w:t>出窗口支持不同消息分</w:t>
            </w:r>
            <w:r>
              <w:rPr>
                <w:rFonts w:hint="cs" w:ascii="仿宋" w:hAnsi="仿宋" w:eastAsia="仿宋" w:cs="仿宋"/>
                <w:color w:val="auto"/>
                <w:kern w:val="0"/>
                <w:szCs w:val="21"/>
                <w:highlight w:val="none"/>
              </w:rPr>
              <w:t>类标识</w:t>
            </w:r>
            <w:r>
              <w:rPr>
                <w:rFonts w:hint="eastAsia" w:ascii="仿宋" w:hAnsi="仿宋" w:eastAsia="仿宋" w:cs="仿宋"/>
                <w:color w:val="auto"/>
                <w:kern w:val="0"/>
                <w:szCs w:val="21"/>
                <w:highlight w:val="none"/>
              </w:rPr>
              <w:t>，如信令交互信息、</w:t>
            </w:r>
            <w:r>
              <w:rPr>
                <w:rFonts w:hint="cs" w:ascii="仿宋" w:hAnsi="仿宋" w:eastAsia="仿宋" w:cs="仿宋"/>
                <w:color w:val="auto"/>
                <w:kern w:val="0"/>
                <w:szCs w:val="21"/>
                <w:highlight w:val="none"/>
              </w:rPr>
              <w:t>测试结</w:t>
            </w:r>
            <w:r>
              <w:rPr>
                <w:rFonts w:hint="eastAsia" w:ascii="仿宋" w:hAnsi="仿宋" w:eastAsia="仿宋" w:cs="仿宋"/>
                <w:color w:val="auto"/>
                <w:kern w:val="0"/>
                <w:szCs w:val="21"/>
                <w:highlight w:val="none"/>
              </w:rPr>
              <w:t>果信息、控制</w:t>
            </w:r>
            <w:r>
              <w:rPr>
                <w:rFonts w:hint="cs" w:ascii="仿宋" w:hAnsi="仿宋" w:eastAsia="仿宋" w:cs="仿宋"/>
                <w:color w:val="auto"/>
                <w:kern w:val="0"/>
                <w:szCs w:val="21"/>
                <w:highlight w:val="none"/>
              </w:rPr>
              <w:t>终</w:t>
            </w:r>
            <w:r>
              <w:rPr>
                <w:rFonts w:hint="eastAsia" w:ascii="仿宋" w:hAnsi="仿宋" w:eastAsia="仿宋" w:cs="仿宋"/>
                <w:color w:val="auto"/>
                <w:kern w:val="0"/>
                <w:szCs w:val="21"/>
                <w:highlight w:val="none"/>
              </w:rPr>
              <w:t>端</w:t>
            </w:r>
            <w:r>
              <w:rPr>
                <w:rFonts w:hint="cs" w:ascii="仿宋" w:hAnsi="仿宋" w:eastAsia="仿宋" w:cs="仿宋"/>
                <w:color w:val="auto"/>
                <w:kern w:val="0"/>
                <w:szCs w:val="21"/>
                <w:highlight w:val="none"/>
              </w:rPr>
              <w:t>开关</w:t>
            </w:r>
            <w:r>
              <w:rPr>
                <w:rFonts w:hint="eastAsia" w:ascii="仿宋" w:hAnsi="仿宋" w:eastAsia="仿宋" w:cs="仿宋"/>
                <w:color w:val="auto"/>
                <w:kern w:val="0"/>
                <w:szCs w:val="21"/>
                <w:highlight w:val="none"/>
              </w:rPr>
              <w:t>机的信息等。</w:t>
            </w:r>
          </w:p>
          <w:p w14:paraId="07AB48D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6）提供</w:t>
            </w:r>
            <w:r>
              <w:rPr>
                <w:rFonts w:hint="cs" w:ascii="仿宋" w:hAnsi="仿宋" w:eastAsia="仿宋" w:cs="仿宋"/>
                <w:color w:val="auto"/>
                <w:kern w:val="0"/>
                <w:szCs w:val="21"/>
                <w:highlight w:val="none"/>
              </w:rPr>
              <w:t>测试过</w:t>
            </w:r>
            <w:r>
              <w:rPr>
                <w:rFonts w:hint="eastAsia" w:ascii="仿宋" w:hAnsi="仿宋" w:eastAsia="仿宋" w:cs="仿宋"/>
                <w:color w:val="auto"/>
                <w:kern w:val="0"/>
                <w:szCs w:val="21"/>
                <w:highlight w:val="none"/>
              </w:rPr>
              <w:t>程中信令交互的流程</w:t>
            </w:r>
            <w:r>
              <w:rPr>
                <w:rFonts w:hint="cs" w:ascii="仿宋" w:hAnsi="仿宋" w:eastAsia="仿宋" w:cs="仿宋"/>
                <w:color w:val="auto"/>
                <w:kern w:val="0"/>
                <w:szCs w:val="21"/>
                <w:highlight w:val="none"/>
              </w:rPr>
              <w:t>图</w:t>
            </w:r>
            <w:r>
              <w:rPr>
                <w:rFonts w:hint="eastAsia" w:ascii="仿宋" w:hAnsi="仿宋" w:eastAsia="仿宋" w:cs="仿宋"/>
                <w:color w:val="auto"/>
                <w:kern w:val="0"/>
                <w:szCs w:val="21"/>
                <w:highlight w:val="none"/>
              </w:rPr>
              <w:t>。</w:t>
            </w:r>
          </w:p>
          <w:p w14:paraId="5115D1F1">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7）具</w:t>
            </w:r>
            <w:r>
              <w:rPr>
                <w:rFonts w:hint="cs" w:ascii="仿宋" w:hAnsi="仿宋" w:eastAsia="仿宋" w:cs="仿宋"/>
                <w:color w:val="auto"/>
                <w:kern w:val="0"/>
                <w:szCs w:val="21"/>
                <w:highlight w:val="none"/>
              </w:rPr>
              <w:t>备测试过</w:t>
            </w:r>
            <w:r>
              <w:rPr>
                <w:rFonts w:hint="eastAsia" w:ascii="仿宋" w:hAnsi="仿宋" w:eastAsia="仿宋" w:cs="仿宋"/>
                <w:color w:val="auto"/>
                <w:kern w:val="0"/>
                <w:szCs w:val="21"/>
                <w:highlight w:val="none"/>
              </w:rPr>
              <w:t>程中</w:t>
            </w:r>
            <w:r>
              <w:rPr>
                <w:rFonts w:hint="cs" w:ascii="仿宋" w:hAnsi="仿宋" w:eastAsia="仿宋" w:cs="仿宋"/>
                <w:color w:val="auto"/>
                <w:kern w:val="0"/>
                <w:szCs w:val="21"/>
                <w:highlight w:val="none"/>
              </w:rPr>
              <w:t>异</w:t>
            </w:r>
            <w:r>
              <w:rPr>
                <w:rFonts w:hint="eastAsia" w:ascii="仿宋" w:hAnsi="仿宋" w:eastAsia="仿宋" w:cs="仿宋"/>
                <w:color w:val="auto"/>
                <w:kern w:val="0"/>
                <w:szCs w:val="21"/>
                <w:highlight w:val="none"/>
              </w:rPr>
              <w:t>常事件的</w:t>
            </w:r>
            <w:r>
              <w:rPr>
                <w:rFonts w:hint="cs" w:ascii="仿宋" w:hAnsi="仿宋" w:eastAsia="仿宋" w:cs="仿宋"/>
                <w:color w:val="auto"/>
                <w:kern w:val="0"/>
                <w:szCs w:val="21"/>
                <w:highlight w:val="none"/>
              </w:rPr>
              <w:t>处</w:t>
            </w:r>
            <w:r>
              <w:rPr>
                <w:rFonts w:hint="eastAsia" w:ascii="仿宋" w:hAnsi="仿宋" w:eastAsia="仿宋" w:cs="仿宋"/>
                <w:color w:val="auto"/>
                <w:kern w:val="0"/>
                <w:szCs w:val="21"/>
                <w:highlight w:val="none"/>
              </w:rPr>
              <w:t>理能力。</w:t>
            </w:r>
          </w:p>
          <w:p w14:paraId="4D23FE1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件可自</w:t>
            </w:r>
            <w:r>
              <w:rPr>
                <w:rFonts w:hint="cs" w:ascii="仿宋" w:hAnsi="仿宋" w:eastAsia="仿宋" w:cs="仿宋"/>
                <w:color w:val="auto"/>
                <w:kern w:val="0"/>
                <w:szCs w:val="21"/>
                <w:highlight w:val="none"/>
              </w:rPr>
              <w:t>动</w:t>
            </w:r>
            <w:r>
              <w:rPr>
                <w:rFonts w:hint="eastAsia" w:ascii="仿宋" w:hAnsi="仿宋" w:eastAsia="仿宋" w:cs="仿宋"/>
                <w:color w:val="auto"/>
                <w:kern w:val="0"/>
                <w:szCs w:val="21"/>
                <w:highlight w:val="none"/>
              </w:rPr>
              <w:t>生成</w:t>
            </w:r>
            <w:r>
              <w:rPr>
                <w:rFonts w:hint="cs" w:ascii="仿宋" w:hAnsi="仿宋" w:eastAsia="仿宋" w:cs="仿宋"/>
                <w:color w:val="auto"/>
                <w:kern w:val="0"/>
                <w:szCs w:val="21"/>
                <w:highlight w:val="none"/>
              </w:rPr>
              <w:t>测试报</w:t>
            </w:r>
            <w:r>
              <w:rPr>
                <w:rFonts w:hint="eastAsia" w:ascii="仿宋" w:hAnsi="仿宋" w:eastAsia="仿宋" w:cs="仿宋"/>
                <w:color w:val="auto"/>
                <w:kern w:val="0"/>
                <w:szCs w:val="21"/>
                <w:highlight w:val="none"/>
              </w:rPr>
              <w:t>告。</w:t>
            </w:r>
          </w:p>
          <w:p w14:paraId="78D795A3">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9）各个用例的</w:t>
            </w:r>
            <w:r>
              <w:rPr>
                <w:rFonts w:hint="cs" w:ascii="仿宋" w:hAnsi="仿宋" w:eastAsia="仿宋" w:cs="仿宋"/>
                <w:color w:val="auto"/>
                <w:kern w:val="0"/>
                <w:szCs w:val="21"/>
                <w:highlight w:val="none"/>
              </w:rPr>
              <w:t>测试结</w:t>
            </w:r>
            <w:r>
              <w:rPr>
                <w:rFonts w:hint="eastAsia" w:ascii="仿宋" w:hAnsi="仿宋" w:eastAsia="仿宋" w:cs="仿宋"/>
                <w:color w:val="auto"/>
                <w:kern w:val="0"/>
                <w:szCs w:val="21"/>
                <w:highlight w:val="none"/>
              </w:rPr>
              <w:t>果，</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的</w:t>
            </w:r>
            <w:r>
              <w:rPr>
                <w:rFonts w:hint="cs" w:ascii="仿宋" w:hAnsi="仿宋" w:eastAsia="仿宋" w:cs="仿宋"/>
                <w:color w:val="auto"/>
                <w:kern w:val="0"/>
                <w:szCs w:val="21"/>
                <w:highlight w:val="none"/>
              </w:rPr>
              <w:t>总</w:t>
            </w:r>
            <w:r>
              <w:rPr>
                <w:rFonts w:hint="eastAsia" w:ascii="仿宋" w:hAnsi="仿宋" w:eastAsia="仿宋" w:cs="仿宋"/>
                <w:color w:val="auto"/>
                <w:kern w:val="0"/>
                <w:szCs w:val="21"/>
                <w:highlight w:val="none"/>
              </w:rPr>
              <w:t>次数，成功次数，失</w:t>
            </w:r>
            <w:r>
              <w:rPr>
                <w:rFonts w:hint="cs" w:ascii="仿宋" w:hAnsi="仿宋" w:eastAsia="仿宋" w:cs="仿宋"/>
                <w:color w:val="auto"/>
                <w:kern w:val="0"/>
                <w:szCs w:val="21"/>
                <w:highlight w:val="none"/>
              </w:rPr>
              <w:t>败</w:t>
            </w:r>
            <w:r>
              <w:rPr>
                <w:rFonts w:hint="eastAsia" w:ascii="仿宋" w:hAnsi="仿宋" w:eastAsia="仿宋" w:cs="仿宋"/>
                <w:color w:val="auto"/>
                <w:kern w:val="0"/>
                <w:szCs w:val="21"/>
                <w:highlight w:val="none"/>
              </w:rPr>
              <w:t>次数和</w:t>
            </w:r>
            <w:r>
              <w:rPr>
                <w:rFonts w:hint="cs" w:ascii="仿宋" w:hAnsi="仿宋" w:eastAsia="仿宋" w:cs="仿宋"/>
                <w:color w:val="auto"/>
                <w:kern w:val="0"/>
                <w:szCs w:val="21"/>
                <w:highlight w:val="none"/>
              </w:rPr>
              <w:t>测试时间统计</w:t>
            </w:r>
            <w:r>
              <w:rPr>
                <w:rFonts w:hint="eastAsia" w:ascii="仿宋" w:hAnsi="仿宋" w:eastAsia="仿宋" w:cs="仿宋"/>
                <w:color w:val="auto"/>
                <w:kern w:val="0"/>
                <w:szCs w:val="21"/>
                <w:highlight w:val="none"/>
              </w:rPr>
              <w:t>。</w:t>
            </w:r>
          </w:p>
          <w:p w14:paraId="019493E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10）用例</w:t>
            </w:r>
            <w:r>
              <w:rPr>
                <w:rFonts w:hint="cs" w:ascii="仿宋" w:hAnsi="仿宋" w:eastAsia="仿宋" w:cs="仿宋"/>
                <w:color w:val="auto"/>
                <w:kern w:val="0"/>
                <w:szCs w:val="21"/>
                <w:highlight w:val="none"/>
              </w:rPr>
              <w:t>检查</w:t>
            </w:r>
            <w:r>
              <w:rPr>
                <w:rFonts w:hint="eastAsia" w:ascii="仿宋" w:hAnsi="仿宋" w:eastAsia="仿宋" w:cs="仿宋"/>
                <w:color w:val="auto"/>
                <w:kern w:val="0"/>
                <w:szCs w:val="21"/>
                <w:highlight w:val="none"/>
              </w:rPr>
              <w:t>点的参数</w:t>
            </w:r>
            <w:r>
              <w:rPr>
                <w:rFonts w:hint="cs" w:ascii="仿宋" w:hAnsi="仿宋" w:eastAsia="仿宋" w:cs="仿宋"/>
                <w:color w:val="auto"/>
                <w:kern w:val="0"/>
                <w:szCs w:val="21"/>
                <w:highlight w:val="none"/>
              </w:rPr>
              <w:t>测</w:t>
            </w:r>
            <w:r>
              <w:rPr>
                <w:rFonts w:hint="eastAsia" w:ascii="仿宋" w:hAnsi="仿宋" w:eastAsia="仿宋" w:cs="仿宋"/>
                <w:color w:val="auto"/>
                <w:kern w:val="0"/>
                <w:szCs w:val="21"/>
                <w:highlight w:val="none"/>
              </w:rPr>
              <w:t>量</w:t>
            </w:r>
            <w:r>
              <w:rPr>
                <w:rFonts w:hint="cs" w:ascii="仿宋" w:hAnsi="仿宋" w:eastAsia="仿宋" w:cs="仿宋"/>
                <w:color w:val="auto"/>
                <w:kern w:val="0"/>
                <w:szCs w:val="21"/>
                <w:highlight w:val="none"/>
              </w:rPr>
              <w:t>值</w:t>
            </w:r>
            <w:r>
              <w:rPr>
                <w:rFonts w:hint="eastAsia" w:ascii="仿宋" w:hAnsi="仿宋" w:eastAsia="仿宋" w:cs="仿宋"/>
                <w:color w:val="auto"/>
                <w:kern w:val="0"/>
                <w:szCs w:val="21"/>
                <w:highlight w:val="none"/>
              </w:rPr>
              <w:t>，提供</w:t>
            </w:r>
            <w:r>
              <w:rPr>
                <w:rFonts w:hint="cs" w:ascii="仿宋" w:hAnsi="仿宋" w:eastAsia="仿宋" w:cs="仿宋"/>
                <w:color w:val="auto"/>
                <w:kern w:val="0"/>
                <w:szCs w:val="21"/>
                <w:highlight w:val="none"/>
              </w:rPr>
              <w:t>测</w:t>
            </w:r>
            <w:r>
              <w:rPr>
                <w:rFonts w:hint="eastAsia" w:ascii="仿宋" w:hAnsi="仿宋" w:eastAsia="仿宋" w:cs="仿宋"/>
                <w:color w:val="auto"/>
                <w:kern w:val="0"/>
                <w:szCs w:val="21"/>
                <w:highlight w:val="none"/>
              </w:rPr>
              <w:t>量</w:t>
            </w:r>
            <w:r>
              <w:rPr>
                <w:rFonts w:hint="cs" w:ascii="仿宋" w:hAnsi="仿宋" w:eastAsia="仿宋" w:cs="仿宋"/>
                <w:color w:val="auto"/>
                <w:kern w:val="0"/>
                <w:szCs w:val="21"/>
                <w:highlight w:val="none"/>
              </w:rPr>
              <w:t>值</w:t>
            </w:r>
            <w:r>
              <w:rPr>
                <w:rFonts w:hint="eastAsia" w:ascii="仿宋" w:hAnsi="仿宋" w:eastAsia="仿宋" w:cs="仿宋"/>
                <w:color w:val="auto"/>
                <w:kern w:val="0"/>
                <w:szCs w:val="21"/>
                <w:highlight w:val="none"/>
              </w:rPr>
              <w:t>的排序和</w:t>
            </w:r>
            <w:r>
              <w:rPr>
                <w:rFonts w:hint="cs" w:ascii="仿宋" w:hAnsi="仿宋" w:eastAsia="仿宋" w:cs="仿宋"/>
                <w:color w:val="auto"/>
                <w:kern w:val="0"/>
                <w:szCs w:val="21"/>
                <w:highlight w:val="none"/>
              </w:rPr>
              <w:t>筛选</w:t>
            </w:r>
            <w:r>
              <w:rPr>
                <w:rFonts w:hint="eastAsia" w:ascii="仿宋" w:hAnsi="仿宋" w:eastAsia="仿宋" w:cs="仿宋"/>
                <w:color w:val="auto"/>
                <w:kern w:val="0"/>
                <w:szCs w:val="21"/>
                <w:highlight w:val="none"/>
              </w:rPr>
              <w:t>功能，若</w:t>
            </w:r>
            <w:r>
              <w:rPr>
                <w:rFonts w:hint="cs" w:ascii="仿宋" w:hAnsi="仿宋" w:eastAsia="仿宋" w:cs="仿宋"/>
                <w:color w:val="auto"/>
                <w:kern w:val="0"/>
                <w:szCs w:val="21"/>
                <w:highlight w:val="none"/>
              </w:rPr>
              <w:t>测</w:t>
            </w:r>
            <w:r>
              <w:rPr>
                <w:rFonts w:hint="eastAsia" w:ascii="仿宋" w:hAnsi="仿宋" w:eastAsia="仿宋" w:cs="仿宋"/>
                <w:color w:val="auto"/>
                <w:kern w:val="0"/>
                <w:szCs w:val="21"/>
                <w:highlight w:val="none"/>
              </w:rPr>
              <w:t>量</w:t>
            </w:r>
            <w:r>
              <w:rPr>
                <w:rFonts w:hint="cs" w:ascii="仿宋" w:hAnsi="仿宋" w:eastAsia="仿宋" w:cs="仿宋"/>
                <w:color w:val="auto"/>
                <w:kern w:val="0"/>
                <w:szCs w:val="21"/>
                <w:highlight w:val="none"/>
              </w:rPr>
              <w:t>值</w:t>
            </w:r>
            <w:r>
              <w:rPr>
                <w:rFonts w:hint="eastAsia" w:ascii="仿宋" w:hAnsi="仿宋" w:eastAsia="仿宋" w:cs="仿宋"/>
                <w:color w:val="auto"/>
                <w:kern w:val="0"/>
                <w:szCs w:val="21"/>
                <w:highlight w:val="none"/>
              </w:rPr>
              <w:t>与</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用例</w:t>
            </w:r>
            <w:r>
              <w:rPr>
                <w:rFonts w:hint="cs" w:ascii="仿宋" w:hAnsi="仿宋" w:eastAsia="仿宋" w:cs="仿宋"/>
                <w:color w:val="auto"/>
                <w:kern w:val="0"/>
                <w:szCs w:val="21"/>
                <w:highlight w:val="none"/>
              </w:rPr>
              <w:t>预</w:t>
            </w:r>
            <w:r>
              <w:rPr>
                <w:rFonts w:hint="eastAsia" w:ascii="仿宋" w:hAnsi="仿宋" w:eastAsia="仿宋" w:cs="仿宋"/>
                <w:color w:val="auto"/>
                <w:kern w:val="0"/>
                <w:szCs w:val="21"/>
                <w:highlight w:val="none"/>
              </w:rPr>
              <w:t>期要求不符，</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突出</w:t>
            </w:r>
            <w:r>
              <w:rPr>
                <w:rFonts w:hint="cs" w:ascii="仿宋" w:hAnsi="仿宋" w:eastAsia="仿宋" w:cs="仿宋"/>
                <w:color w:val="auto"/>
                <w:kern w:val="0"/>
                <w:szCs w:val="21"/>
                <w:highlight w:val="none"/>
              </w:rPr>
              <w:t>显</w:t>
            </w:r>
            <w:r>
              <w:rPr>
                <w:rFonts w:hint="eastAsia" w:ascii="仿宋" w:hAnsi="仿宋" w:eastAsia="仿宋" w:cs="仿宋"/>
                <w:color w:val="auto"/>
                <w:kern w:val="0"/>
                <w:szCs w:val="21"/>
                <w:highlight w:val="none"/>
              </w:rPr>
              <w:t>示</w:t>
            </w:r>
            <w:r>
              <w:rPr>
                <w:rFonts w:hint="cs" w:ascii="仿宋" w:hAnsi="仿宋" w:eastAsia="仿宋" w:cs="仿宋"/>
                <w:color w:val="auto"/>
                <w:kern w:val="0"/>
                <w:szCs w:val="21"/>
                <w:highlight w:val="none"/>
              </w:rPr>
              <w:t>该测</w:t>
            </w:r>
            <w:r>
              <w:rPr>
                <w:rFonts w:hint="eastAsia" w:ascii="仿宋" w:hAnsi="仿宋" w:eastAsia="仿宋" w:cs="仿宋"/>
                <w:color w:val="auto"/>
                <w:kern w:val="0"/>
                <w:szCs w:val="21"/>
                <w:highlight w:val="none"/>
              </w:rPr>
              <w:t>量</w:t>
            </w:r>
            <w:r>
              <w:rPr>
                <w:rFonts w:hint="cs" w:ascii="仿宋" w:hAnsi="仿宋" w:eastAsia="仿宋" w:cs="仿宋"/>
                <w:color w:val="auto"/>
                <w:kern w:val="0"/>
                <w:szCs w:val="21"/>
                <w:highlight w:val="none"/>
              </w:rPr>
              <w:t>值</w:t>
            </w:r>
            <w:r>
              <w:rPr>
                <w:rFonts w:hint="eastAsia" w:ascii="仿宋" w:hAnsi="仿宋" w:eastAsia="仿宋" w:cs="仿宋"/>
                <w:color w:val="auto"/>
                <w:kern w:val="0"/>
                <w:szCs w:val="21"/>
                <w:highlight w:val="none"/>
              </w:rPr>
              <w:t>。</w:t>
            </w:r>
          </w:p>
          <w:p w14:paraId="3BFA471A">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r>
              <w:rPr>
                <w:rFonts w:hint="cs" w:ascii="仿宋" w:hAnsi="仿宋" w:eastAsia="仿宋" w:cs="仿宋"/>
                <w:color w:val="auto"/>
                <w:kern w:val="0"/>
                <w:szCs w:val="21"/>
                <w:highlight w:val="none"/>
              </w:rPr>
              <w:t>测试报</w:t>
            </w:r>
            <w:r>
              <w:rPr>
                <w:rFonts w:hint="eastAsia" w:ascii="仿宋" w:hAnsi="仿宋" w:eastAsia="仿宋" w:cs="仿宋"/>
                <w:color w:val="auto"/>
                <w:kern w:val="0"/>
                <w:szCs w:val="21"/>
                <w:highlight w:val="none"/>
              </w:rPr>
              <w:t>告</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能被保存到默</w:t>
            </w:r>
            <w:r>
              <w:rPr>
                <w:rFonts w:hint="cs" w:ascii="仿宋" w:hAnsi="仿宋" w:eastAsia="仿宋" w:cs="仿宋"/>
                <w:color w:val="auto"/>
                <w:kern w:val="0"/>
                <w:szCs w:val="21"/>
                <w:highlight w:val="none"/>
              </w:rPr>
              <w:t>认</w:t>
            </w:r>
            <w:r>
              <w:rPr>
                <w:rFonts w:hint="eastAsia" w:ascii="仿宋" w:hAnsi="仿宋" w:eastAsia="仿宋" w:cs="仿宋"/>
                <w:color w:val="auto"/>
                <w:kern w:val="0"/>
                <w:szCs w:val="21"/>
                <w:highlight w:val="none"/>
              </w:rPr>
              <w:t>或用</w:t>
            </w:r>
            <w:r>
              <w:rPr>
                <w:rFonts w:hint="cs" w:ascii="仿宋" w:hAnsi="仿宋" w:eastAsia="仿宋" w:cs="仿宋"/>
                <w:color w:val="auto"/>
                <w:kern w:val="0"/>
                <w:szCs w:val="21"/>
                <w:highlight w:val="none"/>
              </w:rPr>
              <w:t>户</w:t>
            </w:r>
            <w:r>
              <w:rPr>
                <w:rFonts w:hint="eastAsia" w:ascii="仿宋" w:hAnsi="仿宋" w:eastAsia="仿宋" w:cs="仿宋"/>
                <w:color w:val="auto"/>
                <w:kern w:val="0"/>
                <w:szCs w:val="21"/>
                <w:highlight w:val="none"/>
              </w:rPr>
              <w:t>指定的文件目</w:t>
            </w:r>
            <w:r>
              <w:rPr>
                <w:rFonts w:hint="cs" w:ascii="仿宋" w:hAnsi="仿宋" w:eastAsia="仿宋" w:cs="仿宋"/>
                <w:color w:val="auto"/>
                <w:kern w:val="0"/>
                <w:szCs w:val="21"/>
                <w:highlight w:val="none"/>
              </w:rPr>
              <w:t>录</w:t>
            </w:r>
            <w:r>
              <w:rPr>
                <w:rFonts w:hint="eastAsia" w:ascii="仿宋" w:hAnsi="仿宋" w:eastAsia="仿宋" w:cs="仿宋"/>
                <w:color w:val="auto"/>
                <w:kern w:val="0"/>
                <w:szCs w:val="21"/>
                <w:highlight w:val="none"/>
              </w:rPr>
              <w:t>下。</w:t>
            </w:r>
          </w:p>
          <w:p w14:paraId="0B868FE9">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12）若</w:t>
            </w:r>
            <w:r>
              <w:rPr>
                <w:rFonts w:hint="cs" w:ascii="仿宋" w:hAnsi="仿宋" w:eastAsia="仿宋" w:cs="仿宋"/>
                <w:color w:val="auto"/>
                <w:kern w:val="0"/>
                <w:szCs w:val="21"/>
                <w:highlight w:val="none"/>
              </w:rPr>
              <w:t>测试过</w:t>
            </w:r>
            <w:r>
              <w:rPr>
                <w:rFonts w:hint="eastAsia" w:ascii="仿宋" w:hAnsi="仿宋" w:eastAsia="仿宋" w:cs="仿宋"/>
                <w:color w:val="auto"/>
                <w:kern w:val="0"/>
                <w:szCs w:val="21"/>
                <w:highlight w:val="none"/>
              </w:rPr>
              <w:t>程非正常</w:t>
            </w:r>
            <w:r>
              <w:rPr>
                <w:rFonts w:hint="cs" w:ascii="仿宋" w:hAnsi="仿宋" w:eastAsia="仿宋" w:cs="仿宋"/>
                <w:color w:val="auto"/>
                <w:kern w:val="0"/>
                <w:szCs w:val="21"/>
                <w:highlight w:val="none"/>
              </w:rPr>
              <w:t>结</w:t>
            </w:r>
            <w:r>
              <w:rPr>
                <w:rFonts w:hint="eastAsia" w:ascii="仿宋" w:hAnsi="仿宋" w:eastAsia="仿宋" w:cs="仿宋"/>
                <w:color w:val="auto"/>
                <w:kern w:val="0"/>
                <w:szCs w:val="21"/>
                <w:highlight w:val="none"/>
              </w:rPr>
              <w:t>束，</w:t>
            </w:r>
            <w:r>
              <w:rPr>
                <w:rFonts w:hint="cs" w:ascii="仿宋" w:hAnsi="仿宋" w:eastAsia="仿宋" w:cs="仿宋"/>
                <w:color w:val="auto"/>
                <w:kern w:val="0"/>
                <w:szCs w:val="21"/>
                <w:highlight w:val="none"/>
              </w:rPr>
              <w:t>测试报</w:t>
            </w:r>
            <w:r>
              <w:rPr>
                <w:rFonts w:hint="eastAsia" w:ascii="仿宋" w:hAnsi="仿宋" w:eastAsia="仿宋" w:cs="仿宋"/>
                <w:color w:val="auto"/>
                <w:kern w:val="0"/>
                <w:szCs w:val="21"/>
                <w:highlight w:val="none"/>
              </w:rPr>
              <w:t>告</w:t>
            </w:r>
            <w:r>
              <w:rPr>
                <w:rFonts w:hint="cs" w:ascii="仿宋" w:hAnsi="仿宋" w:eastAsia="仿宋" w:cs="仿宋"/>
                <w:color w:val="auto"/>
                <w:kern w:val="0"/>
                <w:szCs w:val="21"/>
                <w:highlight w:val="none"/>
              </w:rPr>
              <w:t>应显</w:t>
            </w:r>
            <w:r>
              <w:rPr>
                <w:rFonts w:hint="eastAsia" w:ascii="仿宋" w:hAnsi="仿宋" w:eastAsia="仿宋" w:cs="仿宋"/>
                <w:color w:val="auto"/>
                <w:kern w:val="0"/>
                <w:szCs w:val="21"/>
                <w:highlight w:val="none"/>
              </w:rPr>
              <w:t>示</w:t>
            </w:r>
            <w:r>
              <w:rPr>
                <w:rFonts w:hint="cs" w:ascii="仿宋" w:hAnsi="仿宋" w:eastAsia="仿宋" w:cs="仿宋"/>
                <w:color w:val="auto"/>
                <w:kern w:val="0"/>
                <w:szCs w:val="21"/>
                <w:highlight w:val="none"/>
              </w:rPr>
              <w:t>详细</w:t>
            </w:r>
            <w:r>
              <w:rPr>
                <w:rFonts w:hint="eastAsia" w:ascii="仿宋" w:hAnsi="仿宋" w:eastAsia="仿宋" w:cs="仿宋"/>
                <w:color w:val="auto"/>
                <w:kern w:val="0"/>
                <w:szCs w:val="21"/>
                <w:highlight w:val="none"/>
              </w:rPr>
              <w:t>的中断点和中断原因。</w:t>
            </w:r>
          </w:p>
          <w:p w14:paraId="444B85F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系</w:t>
            </w:r>
            <w:r>
              <w:rPr>
                <w:rFonts w:hint="cs" w:ascii="仿宋" w:hAnsi="仿宋" w:eastAsia="仿宋" w:cs="仿宋"/>
                <w:color w:val="auto"/>
                <w:kern w:val="0"/>
                <w:szCs w:val="21"/>
                <w:highlight w:val="none"/>
              </w:rPr>
              <w:t>统应</w:t>
            </w:r>
            <w:r>
              <w:rPr>
                <w:rFonts w:hint="eastAsia" w:ascii="仿宋" w:hAnsi="仿宋" w:eastAsia="仿宋" w:cs="仿宋"/>
                <w:color w:val="auto"/>
                <w:kern w:val="0"/>
                <w:szCs w:val="21"/>
                <w:highlight w:val="none"/>
              </w:rPr>
              <w:t>能</w:t>
            </w:r>
            <w:r>
              <w:rPr>
                <w:rFonts w:hint="cs" w:ascii="仿宋" w:hAnsi="仿宋" w:eastAsia="仿宋" w:cs="仿宋"/>
                <w:color w:val="auto"/>
                <w:kern w:val="0"/>
                <w:szCs w:val="21"/>
                <w:highlight w:val="none"/>
              </w:rPr>
              <w:t>记录详细</w:t>
            </w:r>
            <w:r>
              <w:rPr>
                <w:rFonts w:hint="eastAsia" w:ascii="仿宋" w:hAnsi="仿宋" w:eastAsia="仿宋" w:cs="仿宋"/>
                <w:color w:val="auto"/>
                <w:kern w:val="0"/>
                <w:szCs w:val="21"/>
                <w:highlight w:val="none"/>
              </w:rPr>
              <w:t>清晰的</w:t>
            </w:r>
            <w:r>
              <w:rPr>
                <w:rFonts w:ascii="仿宋" w:hAnsi="仿宋" w:eastAsia="仿宋" w:cs="仿宋"/>
                <w:color w:val="auto"/>
                <w:kern w:val="0"/>
                <w:szCs w:val="21"/>
                <w:highlight w:val="none"/>
              </w:rPr>
              <w:t>LOG</w:t>
            </w:r>
            <w:r>
              <w:rPr>
                <w:rFonts w:hint="eastAsia" w:ascii="仿宋" w:hAnsi="仿宋" w:eastAsia="仿宋" w:cs="仿宋"/>
                <w:color w:val="auto"/>
                <w:kern w:val="0"/>
                <w:szCs w:val="21"/>
                <w:highlight w:val="none"/>
              </w:rPr>
              <w:t>，以供用</w:t>
            </w:r>
            <w:r>
              <w:rPr>
                <w:rFonts w:hint="cs" w:ascii="仿宋" w:hAnsi="仿宋" w:eastAsia="仿宋" w:cs="仿宋"/>
                <w:color w:val="auto"/>
                <w:kern w:val="0"/>
                <w:szCs w:val="21"/>
                <w:highlight w:val="none"/>
              </w:rPr>
              <w:t>户查询</w:t>
            </w:r>
            <w:r>
              <w:rPr>
                <w:rFonts w:hint="eastAsia" w:ascii="仿宋" w:hAnsi="仿宋" w:eastAsia="仿宋" w:cs="仿宋"/>
                <w:color w:val="auto"/>
                <w:kern w:val="0"/>
                <w:szCs w:val="21"/>
                <w:highlight w:val="none"/>
              </w:rPr>
              <w:t>。</w:t>
            </w:r>
          </w:p>
          <w:p w14:paraId="205ED735">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采用功能化模</w:t>
            </w:r>
            <w:r>
              <w:rPr>
                <w:rFonts w:hint="cs" w:ascii="仿宋" w:hAnsi="仿宋" w:eastAsia="仿宋" w:cs="仿宋"/>
                <w:color w:val="auto"/>
                <w:kern w:val="0"/>
                <w:szCs w:val="21"/>
                <w:highlight w:val="none"/>
              </w:rPr>
              <w:t>块</w:t>
            </w:r>
            <w:r>
              <w:rPr>
                <w:rFonts w:hint="eastAsia" w:ascii="仿宋" w:hAnsi="仿宋" w:eastAsia="仿宋" w:cs="仿宋"/>
                <w:color w:val="auto"/>
                <w:kern w:val="0"/>
                <w:szCs w:val="21"/>
                <w:highlight w:val="none"/>
              </w:rPr>
              <w:t>的</w:t>
            </w:r>
            <w:r>
              <w:rPr>
                <w:rFonts w:hint="cs" w:ascii="仿宋" w:hAnsi="仿宋" w:eastAsia="仿宋" w:cs="仿宋"/>
                <w:color w:val="auto"/>
                <w:kern w:val="0"/>
                <w:szCs w:val="21"/>
                <w:highlight w:val="none"/>
              </w:rPr>
              <w:t>结构设计</w:t>
            </w:r>
            <w:r>
              <w:rPr>
                <w:rFonts w:hint="eastAsia" w:ascii="仿宋" w:hAnsi="仿宋" w:eastAsia="仿宋" w:cs="仿宋"/>
                <w:color w:val="auto"/>
                <w:kern w:val="0"/>
                <w:szCs w:val="21"/>
                <w:highlight w:val="none"/>
              </w:rPr>
              <w:t>，</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采用</w:t>
            </w:r>
            <w:r>
              <w:rPr>
                <w:rFonts w:hint="cs" w:ascii="仿宋" w:hAnsi="仿宋" w:eastAsia="仿宋" w:cs="仿宋"/>
                <w:color w:val="auto"/>
                <w:kern w:val="0"/>
                <w:szCs w:val="21"/>
                <w:highlight w:val="none"/>
              </w:rPr>
              <w:t>统</w:t>
            </w:r>
            <w:r>
              <w:rPr>
                <w:rFonts w:hint="eastAsia" w:ascii="仿宋" w:hAnsi="仿宋" w:eastAsia="仿宋" w:cs="仿宋"/>
                <w:color w:val="auto"/>
                <w:kern w:val="0"/>
                <w:szCs w:val="21"/>
                <w:highlight w:val="none"/>
              </w:rPr>
              <w:t>一</w:t>
            </w:r>
            <w:r>
              <w:rPr>
                <w:rFonts w:hint="cs" w:ascii="仿宋" w:hAnsi="仿宋" w:eastAsia="仿宋" w:cs="仿宋"/>
                <w:color w:val="auto"/>
                <w:kern w:val="0"/>
                <w:szCs w:val="21"/>
                <w:highlight w:val="none"/>
              </w:rPr>
              <w:t>标</w:t>
            </w:r>
            <w:r>
              <w:rPr>
                <w:rFonts w:hint="eastAsia" w:ascii="仿宋" w:hAnsi="仿宋" w:eastAsia="仿宋" w:cs="仿宋"/>
                <w:color w:val="auto"/>
                <w:kern w:val="0"/>
                <w:szCs w:val="21"/>
                <w:highlight w:val="none"/>
              </w:rPr>
              <w:t>准的数据接口，便于今后</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功能的</w:t>
            </w:r>
            <w:r>
              <w:rPr>
                <w:rFonts w:hint="cs" w:ascii="仿宋" w:hAnsi="仿宋" w:eastAsia="仿宋" w:cs="仿宋"/>
                <w:color w:val="auto"/>
                <w:kern w:val="0"/>
                <w:szCs w:val="21"/>
                <w:highlight w:val="none"/>
              </w:rPr>
              <w:t>扩</w:t>
            </w:r>
            <w:r>
              <w:rPr>
                <w:rFonts w:hint="eastAsia" w:ascii="仿宋" w:hAnsi="仿宋" w:eastAsia="仿宋" w:cs="仿宋"/>
                <w:color w:val="auto"/>
                <w:kern w:val="0"/>
                <w:szCs w:val="21"/>
                <w:highlight w:val="none"/>
              </w:rPr>
              <w:t>展升</w:t>
            </w:r>
            <w:r>
              <w:rPr>
                <w:rFonts w:hint="cs" w:ascii="仿宋" w:hAnsi="仿宋" w:eastAsia="仿宋" w:cs="仿宋"/>
                <w:color w:val="auto"/>
                <w:kern w:val="0"/>
                <w:szCs w:val="21"/>
                <w:highlight w:val="none"/>
              </w:rPr>
              <w:t>级</w:t>
            </w:r>
            <w:r>
              <w:rPr>
                <w:rFonts w:hint="eastAsia" w:ascii="仿宋" w:hAnsi="仿宋" w:eastAsia="仿宋" w:cs="仿宋"/>
                <w:color w:val="auto"/>
                <w:kern w:val="0"/>
                <w:szCs w:val="21"/>
                <w:highlight w:val="none"/>
              </w:rPr>
              <w:t>。</w:t>
            </w:r>
          </w:p>
          <w:p w14:paraId="5EFE7D94">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Cs w:val="21"/>
                <w:highlight w:val="none"/>
              </w:rPr>
              <w:t>15）</w:t>
            </w:r>
            <w:r>
              <w:rPr>
                <w:rFonts w:hint="cs" w:ascii="仿宋" w:hAnsi="仿宋" w:eastAsia="仿宋" w:cs="仿宋"/>
                <w:color w:val="auto"/>
                <w:kern w:val="0"/>
                <w:szCs w:val="21"/>
                <w:highlight w:val="none"/>
              </w:rPr>
              <w:t>软</w:t>
            </w:r>
            <w:r>
              <w:rPr>
                <w:rFonts w:hint="eastAsia" w:ascii="仿宋" w:hAnsi="仿宋" w:eastAsia="仿宋" w:cs="仿宋"/>
                <w:color w:val="auto"/>
                <w:kern w:val="0"/>
                <w:szCs w:val="21"/>
                <w:highlight w:val="none"/>
              </w:rPr>
              <w:t>件</w:t>
            </w:r>
            <w:r>
              <w:rPr>
                <w:rFonts w:hint="cs" w:ascii="仿宋" w:hAnsi="仿宋" w:eastAsia="仿宋" w:cs="仿宋"/>
                <w:color w:val="auto"/>
                <w:kern w:val="0"/>
                <w:szCs w:val="21"/>
                <w:highlight w:val="none"/>
              </w:rPr>
              <w:t>应</w:t>
            </w:r>
            <w:r>
              <w:rPr>
                <w:rFonts w:hint="eastAsia" w:ascii="仿宋" w:hAnsi="仿宋" w:eastAsia="仿宋" w:cs="仿宋"/>
                <w:color w:val="auto"/>
                <w:kern w:val="0"/>
                <w:szCs w:val="21"/>
                <w:highlight w:val="none"/>
              </w:rPr>
              <w:t>能</w:t>
            </w:r>
            <w:r>
              <w:rPr>
                <w:rFonts w:hint="cs" w:ascii="仿宋" w:hAnsi="仿宋" w:eastAsia="仿宋" w:cs="仿宋"/>
                <w:color w:val="auto"/>
                <w:kern w:val="0"/>
                <w:szCs w:val="21"/>
                <w:highlight w:val="none"/>
              </w:rPr>
              <w:t>记录历</w:t>
            </w:r>
            <w:r>
              <w:rPr>
                <w:rFonts w:hint="eastAsia" w:ascii="仿宋" w:hAnsi="仿宋" w:eastAsia="仿宋" w:cs="仿宋"/>
                <w:color w:val="auto"/>
                <w:kern w:val="0"/>
                <w:szCs w:val="21"/>
                <w:highlight w:val="none"/>
              </w:rPr>
              <w:t>史</w:t>
            </w:r>
            <w:r>
              <w:rPr>
                <w:rFonts w:hint="cs" w:ascii="仿宋" w:hAnsi="仿宋" w:eastAsia="仿宋" w:cs="仿宋"/>
                <w:color w:val="auto"/>
                <w:kern w:val="0"/>
                <w:szCs w:val="21"/>
                <w:highlight w:val="none"/>
              </w:rPr>
              <w:t>测试记录</w:t>
            </w:r>
            <w:r>
              <w:rPr>
                <w:rFonts w:hint="eastAsia" w:ascii="仿宋" w:hAnsi="仿宋" w:eastAsia="仿宋" w:cs="仿宋"/>
                <w:color w:val="auto"/>
                <w:kern w:val="0"/>
                <w:szCs w:val="21"/>
                <w:highlight w:val="none"/>
              </w:rPr>
              <w:t>、</w:t>
            </w:r>
            <w:r>
              <w:rPr>
                <w:rFonts w:hint="cs" w:ascii="仿宋" w:hAnsi="仿宋" w:eastAsia="仿宋" w:cs="仿宋"/>
                <w:color w:val="auto"/>
                <w:kern w:val="0"/>
                <w:szCs w:val="21"/>
                <w:highlight w:val="none"/>
              </w:rPr>
              <w:t>测试</w:t>
            </w:r>
            <w:r>
              <w:rPr>
                <w:rFonts w:hint="eastAsia" w:ascii="仿宋" w:hAnsi="仿宋" w:eastAsia="仿宋" w:cs="仿宋"/>
                <w:color w:val="auto"/>
                <w:kern w:val="0"/>
                <w:szCs w:val="21"/>
                <w:highlight w:val="none"/>
              </w:rPr>
              <w:t>信息和</w:t>
            </w:r>
            <w:r>
              <w:rPr>
                <w:rFonts w:hint="cs" w:ascii="仿宋" w:hAnsi="仿宋" w:eastAsia="仿宋" w:cs="仿宋"/>
                <w:color w:val="auto"/>
                <w:kern w:val="0"/>
                <w:szCs w:val="21"/>
                <w:highlight w:val="none"/>
              </w:rPr>
              <w:t>详细</w:t>
            </w:r>
            <w:r>
              <w:rPr>
                <w:rFonts w:hint="eastAsia" w:ascii="仿宋" w:hAnsi="仿宋" w:eastAsia="仿宋" w:cs="仿宋"/>
                <w:color w:val="auto"/>
                <w:kern w:val="0"/>
                <w:szCs w:val="21"/>
                <w:highlight w:val="none"/>
              </w:rPr>
              <w:t>清晰的</w:t>
            </w:r>
            <w:r>
              <w:rPr>
                <w:rFonts w:ascii="仿宋" w:hAnsi="仿宋" w:eastAsia="仿宋" w:cs="仿宋"/>
                <w:color w:val="auto"/>
                <w:kern w:val="0"/>
                <w:szCs w:val="21"/>
                <w:highlight w:val="none"/>
              </w:rPr>
              <w:t>LOG</w:t>
            </w:r>
            <w:r>
              <w:rPr>
                <w:rFonts w:hint="eastAsia" w:ascii="仿宋" w:hAnsi="仿宋" w:eastAsia="仿宋" w:cs="仿宋"/>
                <w:color w:val="auto"/>
                <w:kern w:val="0"/>
                <w:szCs w:val="21"/>
                <w:highlight w:val="none"/>
              </w:rPr>
              <w:t>，以供用</w:t>
            </w:r>
            <w:r>
              <w:rPr>
                <w:rFonts w:hint="cs" w:ascii="仿宋" w:hAnsi="仿宋" w:eastAsia="仿宋" w:cs="仿宋"/>
                <w:color w:val="auto"/>
                <w:kern w:val="0"/>
                <w:szCs w:val="21"/>
                <w:highlight w:val="none"/>
              </w:rPr>
              <w:t>户查询</w:t>
            </w:r>
            <w:r>
              <w:rPr>
                <w:rFonts w:hint="eastAsia" w:ascii="仿宋" w:hAnsi="仿宋" w:eastAsia="仿宋" w:cs="仿宋"/>
                <w:color w:val="auto"/>
                <w:kern w:val="0"/>
                <w:szCs w:val="21"/>
                <w:highlight w:val="none"/>
              </w:rPr>
              <w:t>。</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74A36B42">
            <w:pPr>
              <w:spacing w:line="360" w:lineRule="exact"/>
              <w:jc w:val="center"/>
              <w:textAlignment w:val="center"/>
              <w:rPr>
                <w:rFonts w:hint="eastAsia" w:ascii="仿宋" w:hAnsi="仿宋" w:eastAsia="仿宋" w:cs="仿宋"/>
                <w:color w:val="auto"/>
                <w:kern w:val="0"/>
                <w:sz w:val="21"/>
                <w:szCs w:val="21"/>
                <w:highlight w:val="none"/>
              </w:rPr>
            </w:pPr>
          </w:p>
        </w:tc>
      </w:tr>
      <w:tr w14:paraId="05E4999D">
        <w:tblPrEx>
          <w:tblCellMar>
            <w:top w:w="0" w:type="dxa"/>
            <w:left w:w="108" w:type="dxa"/>
            <w:bottom w:w="0" w:type="dxa"/>
            <w:right w:w="108" w:type="dxa"/>
          </w:tblCellMar>
        </w:tblPrEx>
        <w:trPr>
          <w:trHeight w:val="1054" w:hRule="atLeast"/>
          <w:jc w:val="center"/>
        </w:trPr>
        <w:tc>
          <w:tcPr>
            <w:tcW w:w="638" w:type="dxa"/>
            <w:tcBorders>
              <w:top w:val="single" w:color="000000" w:sz="4" w:space="0"/>
              <w:left w:val="single" w:color="000000" w:sz="4" w:space="0"/>
              <w:bottom w:val="single" w:color="000000" w:sz="4" w:space="0"/>
              <w:right w:val="single" w:color="000000" w:sz="4" w:space="0"/>
            </w:tcBorders>
            <w:noWrap/>
            <w:vAlign w:val="center"/>
          </w:tcPr>
          <w:p w14:paraId="661EE5C0">
            <w:pPr>
              <w:spacing w:line="360" w:lineRule="exact"/>
              <w:jc w:val="center"/>
              <w:textAlignment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2</w:t>
            </w:r>
          </w:p>
        </w:tc>
        <w:tc>
          <w:tcPr>
            <w:tcW w:w="1290" w:type="dxa"/>
            <w:tcBorders>
              <w:top w:val="single" w:color="000000" w:sz="4" w:space="0"/>
              <w:left w:val="single" w:color="000000" w:sz="4" w:space="0"/>
              <w:bottom w:val="single" w:color="000000" w:sz="4" w:space="0"/>
              <w:right w:val="single" w:color="auto" w:sz="4" w:space="0"/>
            </w:tcBorders>
            <w:noWrap/>
            <w:vAlign w:val="center"/>
          </w:tcPr>
          <w:p w14:paraId="110DFF40">
            <w:pPr>
              <w:spacing w:line="360" w:lineRule="exact"/>
              <w:jc w:val="center"/>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宽带无线电通信测试仪</w:t>
            </w:r>
          </w:p>
        </w:tc>
        <w:tc>
          <w:tcPr>
            <w:tcW w:w="4912" w:type="dxa"/>
            <w:tcBorders>
              <w:top w:val="single" w:color="000000" w:sz="4" w:space="0"/>
              <w:left w:val="single" w:color="000000" w:sz="4" w:space="0"/>
              <w:bottom w:val="single" w:color="000000" w:sz="4" w:space="0"/>
              <w:right w:val="single" w:color="auto" w:sz="4" w:space="0"/>
            </w:tcBorders>
            <w:noWrap/>
            <w:vAlign w:val="center"/>
          </w:tcPr>
          <w:p w14:paraId="5A299AF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无线综合测试仪要求如下，并提供产品手册、产品指标材料佐证。</w:t>
            </w:r>
          </w:p>
          <w:p w14:paraId="65F9AADC">
            <w:pPr>
              <w:keepNext w:val="0"/>
              <w:keepLines w:val="0"/>
              <w:pageBreakBefore w:val="0"/>
              <w:widowControl w:val="0"/>
              <w:numPr>
                <w:ilvl w:val="0"/>
                <w:numId w:val="1"/>
              </w:numPr>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频率范围至少覆盖70M-6GHz,射频通道带宽不低于160MHz;</w:t>
            </w:r>
          </w:p>
          <w:p w14:paraId="74740183">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2）射频通道数不低于2通道；</w:t>
            </w:r>
          </w:p>
          <w:p w14:paraId="216AF727">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3）发射机功率范围：–120dBmto+3dBm（100MHzto3300MHz单音）;</w:t>
            </w:r>
          </w:p>
          <w:p w14:paraId="1F9850B0">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4）发射机功率精度:&lt;1.2dB;</w:t>
            </w:r>
          </w:p>
          <w:p w14:paraId="315C2849">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5）相位噪声：≥1MHz处&lt;–120dBc,1Hz（70MHzto3300MHz）;</w:t>
            </w:r>
          </w:p>
          <w:p w14:paraId="378242C6">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功率分辨率0.01dB;</w:t>
            </w:r>
          </w:p>
          <w:p w14:paraId="1B487FFF">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6）频率漂移：±5×10–9</w:t>
            </w:r>
            <w:r>
              <w:rPr>
                <w:rFonts w:hint="eastAsia" w:ascii="仿宋" w:hAnsi="仿宋" w:eastAsia="仿宋" w:cs="仿宋"/>
                <w:color w:val="auto"/>
                <w:kern w:val="0"/>
                <w:szCs w:val="21"/>
                <w:highlight w:val="none"/>
                <w:lang w:eastAsia="zh-CN"/>
              </w:rPr>
              <w:t>；</w:t>
            </w:r>
          </w:p>
          <w:p w14:paraId="476319DA">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7）仪表接口，具备EthernetRJ-45connector,1000Mbps，USB3.0USB2.0接口，输入输出触发接口（BNC)，具有功率计输入接口</w:t>
            </w:r>
            <w:r>
              <w:rPr>
                <w:rFonts w:hint="eastAsia" w:ascii="仿宋" w:hAnsi="仿宋" w:eastAsia="仿宋" w:cs="仿宋"/>
                <w:color w:val="auto"/>
                <w:kern w:val="0"/>
                <w:szCs w:val="21"/>
                <w:highlight w:val="none"/>
                <w:lang w:eastAsia="zh-CN"/>
              </w:rPr>
              <w:t>；</w:t>
            </w:r>
          </w:p>
          <w:p w14:paraId="3FE38D39">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8）可支持LTE包含cat1cat1bis通讯制式的基站模拟，模拟IMS网元，可以支持VoLTE支持物理层和IP层数据吞吐率测试</w:t>
            </w:r>
            <w:r>
              <w:rPr>
                <w:rFonts w:hint="eastAsia" w:ascii="仿宋" w:hAnsi="仿宋" w:eastAsia="仿宋" w:cs="仿宋"/>
                <w:color w:val="auto"/>
                <w:kern w:val="0"/>
                <w:szCs w:val="21"/>
                <w:highlight w:val="none"/>
                <w:lang w:eastAsia="zh-CN"/>
              </w:rPr>
              <w:t>；</w:t>
            </w:r>
          </w:p>
          <w:p w14:paraId="17AD930F">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9）支持LTE（R8-R14）终端测试，基于3GPPTS36.521-1规范的终端的发射机测试、接收机测试和性测试的测量过程和测量方法</w:t>
            </w:r>
            <w:r>
              <w:rPr>
                <w:rFonts w:hint="eastAsia" w:ascii="仿宋" w:hAnsi="仿宋" w:eastAsia="仿宋" w:cs="仿宋"/>
                <w:color w:val="auto"/>
                <w:kern w:val="0"/>
                <w:szCs w:val="21"/>
                <w:highlight w:val="none"/>
                <w:lang w:eastAsia="zh-CN"/>
              </w:rPr>
              <w:t>；</w:t>
            </w:r>
          </w:p>
          <w:p w14:paraId="78EF67A2">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10）具备自动化工具，可基于3GPPTS36.521-1规范，自动化执行相应测试</w:t>
            </w:r>
            <w:r>
              <w:rPr>
                <w:rFonts w:hint="eastAsia" w:ascii="仿宋" w:hAnsi="仿宋" w:eastAsia="仿宋" w:cs="仿宋"/>
                <w:color w:val="auto"/>
                <w:kern w:val="0"/>
                <w:szCs w:val="21"/>
                <w:highlight w:val="none"/>
                <w:lang w:eastAsia="zh-CN"/>
              </w:rPr>
              <w:t>；</w:t>
            </w:r>
          </w:p>
          <w:p w14:paraId="0F2153BE">
            <w:pPr>
              <w:keepNext w:val="0"/>
              <w:keepLines w:val="0"/>
              <w:pageBreakBefore w:val="0"/>
              <w:widowControl w:val="0"/>
              <w:kinsoku/>
              <w:wordWrap w:val="0"/>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11）可以通过软件升级支持WCDMA/HSPA+、GSM/GPRS/EGPRSCDMA20001xRTT/EV-DO/D-SCDMA/WLAN/蓝牙信令测试，包括802.11,ax,ac,a,b,g,n等标准的信令及非信令测试功能</w:t>
            </w:r>
            <w:r>
              <w:rPr>
                <w:rFonts w:hint="eastAsia" w:ascii="仿宋" w:hAnsi="仿宋" w:eastAsia="仿宋" w:cs="仿宋"/>
                <w:color w:val="auto"/>
                <w:kern w:val="0"/>
                <w:szCs w:val="21"/>
                <w:highlight w:val="none"/>
                <w:lang w:eastAsia="zh-CN"/>
              </w:rPr>
              <w:t>。</w:t>
            </w:r>
          </w:p>
        </w:tc>
        <w:tc>
          <w:tcPr>
            <w:tcW w:w="3117" w:type="dxa"/>
            <w:tcBorders>
              <w:top w:val="single" w:color="000000" w:sz="4" w:space="0"/>
              <w:left w:val="single" w:color="auto" w:sz="4" w:space="0"/>
              <w:bottom w:val="single" w:color="000000" w:sz="4" w:space="0"/>
              <w:right w:val="single" w:color="000000" w:sz="4" w:space="0"/>
            </w:tcBorders>
            <w:noWrap/>
            <w:vAlign w:val="center"/>
          </w:tcPr>
          <w:p w14:paraId="2E09C2CC">
            <w:pPr>
              <w:spacing w:line="360" w:lineRule="exact"/>
              <w:jc w:val="center"/>
              <w:textAlignment w:val="center"/>
              <w:rPr>
                <w:rFonts w:hint="eastAsia" w:ascii="仿宋" w:hAnsi="仿宋" w:eastAsia="仿宋" w:cs="仿宋"/>
                <w:color w:val="auto"/>
                <w:kern w:val="0"/>
                <w:sz w:val="21"/>
                <w:szCs w:val="21"/>
                <w:highlight w:val="none"/>
              </w:rPr>
            </w:pPr>
          </w:p>
        </w:tc>
      </w:tr>
    </w:tbl>
    <w:p w14:paraId="5ACC3C54">
      <w:pPr>
        <w:spacing w:line="360" w:lineRule="auto"/>
        <w:rPr>
          <w:rFonts w:hint="eastAsia" w:ascii="仿宋" w:hAnsi="仿宋" w:eastAsia="仿宋" w:cs="仿宋"/>
          <w:color w:val="auto"/>
          <w:highlight w:val="none"/>
        </w:rPr>
      </w:pPr>
    </w:p>
    <w:p w14:paraId="1C41AA9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）商务要求如下：</w:t>
      </w:r>
    </w:p>
    <w:tbl>
      <w:tblPr>
        <w:tblStyle w:val="7"/>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3"/>
        <w:gridCol w:w="3088"/>
      </w:tblGrid>
      <w:tr w14:paraId="08C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71DD08BA">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商务项</w:t>
            </w:r>
          </w:p>
        </w:tc>
        <w:tc>
          <w:tcPr>
            <w:tcW w:w="5443" w:type="dxa"/>
            <w:vAlign w:val="center"/>
          </w:tcPr>
          <w:p w14:paraId="6CF895F2">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商务要求</w:t>
            </w:r>
          </w:p>
        </w:tc>
        <w:tc>
          <w:tcPr>
            <w:tcW w:w="3088" w:type="dxa"/>
            <w:vAlign w:val="center"/>
          </w:tcPr>
          <w:p w14:paraId="095BB7FD">
            <w:pPr>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修改意见</w:t>
            </w:r>
          </w:p>
        </w:tc>
      </w:tr>
      <w:tr w14:paraId="22EC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4602328E">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质保期</w:t>
            </w:r>
          </w:p>
        </w:tc>
        <w:tc>
          <w:tcPr>
            <w:tcW w:w="5443" w:type="dxa"/>
            <w:vAlign w:val="center"/>
          </w:tcPr>
          <w:p w14:paraId="18578BB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按国家有关产品“三包”规定执行“三包”，保期不少于</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年（设备技术要求栏中有特别注明的除外），保修期内上门维修免收维修费和元器件费，并提供终身维修服务。</w:t>
            </w:r>
          </w:p>
        </w:tc>
        <w:tc>
          <w:tcPr>
            <w:tcW w:w="3088" w:type="dxa"/>
          </w:tcPr>
          <w:p w14:paraId="7268D9EE">
            <w:pPr>
              <w:spacing w:line="360" w:lineRule="exact"/>
              <w:rPr>
                <w:rFonts w:hint="eastAsia" w:ascii="仿宋" w:hAnsi="仿宋" w:eastAsia="仿宋" w:cs="仿宋"/>
                <w:color w:val="auto"/>
                <w:szCs w:val="21"/>
                <w:highlight w:val="none"/>
              </w:rPr>
            </w:pPr>
          </w:p>
        </w:tc>
      </w:tr>
      <w:tr w14:paraId="2D6A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BDB8905">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售后及技术服务要求</w:t>
            </w:r>
          </w:p>
        </w:tc>
        <w:tc>
          <w:tcPr>
            <w:tcW w:w="5443" w:type="dxa"/>
            <w:vAlign w:val="center"/>
          </w:tcPr>
          <w:p w14:paraId="2D908C7E">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免费送货上门，免费安装、免费调试，免费提供不少于2个工作日的现场操作培训，培训内容应包括设备操作、日常维护、软件使用及数据处理等，确保不少于3名操作人员能够独立使用仪器；若设备自带软件，则在保修期免费升级；其余按投标人承诺进行。</w:t>
            </w:r>
          </w:p>
          <w:p w14:paraId="581BE28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售后服务联系电话及联系人，免费质保期内，接到报障电话在承诺时间内派工程技术人员上门维修解决问题。如果需要更换配件的，要求更换的配件应跟被更换的品牌、类型相一致或者是同类同档次的替代品，后者需征得用户方管理人员同意。</w:t>
            </w:r>
          </w:p>
          <w:p w14:paraId="207E2E3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3、提供保修期外零配件优惠供应方案。</w:t>
            </w:r>
          </w:p>
        </w:tc>
        <w:tc>
          <w:tcPr>
            <w:tcW w:w="3088" w:type="dxa"/>
          </w:tcPr>
          <w:p w14:paraId="1AAE2E79">
            <w:pPr>
              <w:spacing w:line="360" w:lineRule="exact"/>
              <w:rPr>
                <w:rFonts w:hint="eastAsia" w:ascii="仿宋" w:hAnsi="仿宋" w:eastAsia="仿宋" w:cs="仿宋"/>
                <w:color w:val="auto"/>
                <w:szCs w:val="21"/>
                <w:highlight w:val="none"/>
              </w:rPr>
            </w:pPr>
          </w:p>
        </w:tc>
      </w:tr>
      <w:tr w14:paraId="645A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3C7749F">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交货时间及地点</w:t>
            </w:r>
          </w:p>
        </w:tc>
        <w:tc>
          <w:tcPr>
            <w:tcW w:w="5443" w:type="dxa"/>
            <w:vAlign w:val="center"/>
          </w:tcPr>
          <w:p w14:paraId="15E9F625">
            <w:pPr>
              <w:pStyle w:val="4"/>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交货期：自签订合同之日起</w:t>
            </w:r>
            <w:r>
              <w:rPr>
                <w:rFonts w:hint="eastAsia" w:ascii="仿宋" w:hAnsi="仿宋" w:eastAsia="仿宋" w:cs="仿宋"/>
                <w:color w:val="auto"/>
                <w:sz w:val="21"/>
                <w:szCs w:val="21"/>
                <w:highlight w:val="none"/>
                <w:u w:val="single"/>
              </w:rPr>
              <w:t>180个工作日内</w:t>
            </w:r>
            <w:r>
              <w:rPr>
                <w:rFonts w:hint="eastAsia" w:ascii="仿宋" w:hAnsi="仿宋" w:eastAsia="仿宋" w:cs="仿宋"/>
                <w:color w:val="auto"/>
                <w:sz w:val="21"/>
                <w:szCs w:val="21"/>
                <w:highlight w:val="none"/>
              </w:rPr>
              <w:t>必须到货，并全部安装调试合格完毕；</w:t>
            </w:r>
          </w:p>
          <w:p w14:paraId="08C43A5D">
            <w:pPr>
              <w:pStyle w:val="4"/>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交货地点：广西桂林市采购人指定地点</w:t>
            </w:r>
          </w:p>
        </w:tc>
        <w:tc>
          <w:tcPr>
            <w:tcW w:w="3088" w:type="dxa"/>
          </w:tcPr>
          <w:p w14:paraId="5667F816">
            <w:pPr>
              <w:spacing w:line="360" w:lineRule="exact"/>
              <w:rPr>
                <w:rFonts w:hint="eastAsia" w:ascii="仿宋" w:hAnsi="仿宋" w:eastAsia="仿宋" w:cs="仿宋"/>
                <w:color w:val="auto"/>
                <w:szCs w:val="21"/>
                <w:highlight w:val="none"/>
              </w:rPr>
            </w:pPr>
          </w:p>
        </w:tc>
      </w:tr>
      <w:tr w14:paraId="4F1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268" w:type="dxa"/>
            <w:vAlign w:val="center"/>
          </w:tcPr>
          <w:p w14:paraId="0ED9C4A4">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付款条件</w:t>
            </w:r>
          </w:p>
        </w:tc>
        <w:tc>
          <w:tcPr>
            <w:tcW w:w="5443" w:type="dxa"/>
            <w:vAlign w:val="center"/>
          </w:tcPr>
          <w:p w14:paraId="66ACC71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100%信用证,90%凭发货方发货单据支付，10%验收合格后凭采购方验收报告20日内付清（无息）。</w:t>
            </w:r>
          </w:p>
        </w:tc>
        <w:tc>
          <w:tcPr>
            <w:tcW w:w="3088" w:type="dxa"/>
          </w:tcPr>
          <w:p w14:paraId="02B00075">
            <w:pPr>
              <w:spacing w:line="360" w:lineRule="exact"/>
              <w:rPr>
                <w:rFonts w:hint="eastAsia" w:ascii="仿宋" w:hAnsi="仿宋" w:eastAsia="仿宋" w:cs="仿宋"/>
                <w:color w:val="auto"/>
                <w:szCs w:val="21"/>
                <w:highlight w:val="none"/>
              </w:rPr>
            </w:pPr>
          </w:p>
        </w:tc>
      </w:tr>
      <w:tr w14:paraId="34F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212E0B4">
            <w:pPr>
              <w:spacing w:line="4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w:t>
            </w:r>
          </w:p>
        </w:tc>
        <w:tc>
          <w:tcPr>
            <w:tcW w:w="5443" w:type="dxa"/>
            <w:vAlign w:val="center"/>
          </w:tcPr>
          <w:p w14:paraId="21F9B30E">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投标人的报价为采购人指定地点的现场交货价，包括：</w:t>
            </w:r>
          </w:p>
          <w:p w14:paraId="3E750E7D">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（1）货物的价格；</w:t>
            </w:r>
          </w:p>
          <w:p w14:paraId="12712DFB">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（2）货物的标准附件、备品备件、专用工具的价格；</w:t>
            </w:r>
          </w:p>
          <w:p w14:paraId="5B3A7B34">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（3）运输、装卸、调试、培训、技术支持、人工、上门服务、售后服务等费用；</w:t>
            </w:r>
          </w:p>
          <w:p w14:paraId="01304096">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（4）必要的保险费用和各项税费；</w:t>
            </w:r>
          </w:p>
          <w:p w14:paraId="2CD5CF99">
            <w:pPr>
              <w:spacing w:line="400" w:lineRule="exac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（5）安装调试费用；以及合同明示或暗示的所有责任、义务和一般风险等一切费用。</w:t>
            </w:r>
          </w:p>
        </w:tc>
        <w:tc>
          <w:tcPr>
            <w:tcW w:w="3088" w:type="dxa"/>
          </w:tcPr>
          <w:p w14:paraId="2781CEC5">
            <w:pPr>
              <w:spacing w:line="360" w:lineRule="exact"/>
              <w:rPr>
                <w:rFonts w:hint="eastAsia" w:ascii="仿宋" w:hAnsi="仿宋" w:eastAsia="仿宋" w:cs="仿宋"/>
                <w:bCs/>
                <w:color w:val="auto"/>
                <w:szCs w:val="21"/>
                <w:highlight w:val="none"/>
              </w:rPr>
            </w:pPr>
          </w:p>
        </w:tc>
      </w:tr>
      <w:tr w14:paraId="2F5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Align w:val="center"/>
          </w:tcPr>
          <w:p w14:paraId="3A3242F1">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验收要求</w:t>
            </w:r>
          </w:p>
        </w:tc>
        <w:tc>
          <w:tcPr>
            <w:tcW w:w="5443" w:type="dxa"/>
            <w:vAlign w:val="center"/>
          </w:tcPr>
          <w:p w14:paraId="0D103C1D">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产品须是按厂家出厂标准配置提供的整套全新，具备正规合法经销渠道，符合国家各项有关质量标准的合格产品。相关部件及服务须满足本表中各项要求。所有设备除满足招标文件要求及投标文件承诺的技术参数和配置外，其余均按国家标准及生产厂家出厂标准配置，若产品在运输过程中损坏须无偿调换同样款产品。</w:t>
            </w:r>
          </w:p>
          <w:p w14:paraId="02219014">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合同签订之后，采购人有权要求中标供应商提供所投主要产品进行功能测试，如有配置或功能不能满足采购要求，按违约处理，采购人有权解除合同，必要时采购人有权要求有资质的第三方检测机构进行检测。</w:t>
            </w:r>
          </w:p>
          <w:p w14:paraId="4BAA4DC9">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供应商所提供的产品必须为原装正品的、全新的、完好无破损且为未开箱状态、符合有关质量标准的产品；设备到货安装前，采购人现场根据采购文件要求及投标文件承诺逐条对应进行核验（必要时，采购人有权要求供应商对各项指标进行现场演示），核验不合格或中标供应商未按采购人要求提供现场演示或技术功能无法达到相应技术要求的，按违约处理，采购人有权全部退货，同时报相关监督管理部门处理，由此造成采购人经济损失的由中标供应商负责承担全部赔偿责任。</w:t>
            </w:r>
          </w:p>
          <w:p w14:paraId="050D1D78">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4、验收方式和验收材料要求</w:t>
            </w:r>
          </w:p>
          <w:p w14:paraId="3D2A6A69">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（1）采购人在项目完成且收到中标供应商验收申请后5个工作日内组织开展履约验收；</w:t>
            </w:r>
          </w:p>
          <w:p w14:paraId="1BC0AC6F">
            <w:pPr>
              <w:spacing w:line="40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中标供应商必须提供合格的验收材料，验收材料包括但不限于①验收申请书（原件）、②中标通知书复印件、③合同（包括附件加盖采购代理机构章的格式合同中规定的附件）复印件；④项目实施过程文件、⑤货物的证明文件、⑥货物的技术资料、⑦培训记录等。</w:t>
            </w:r>
          </w:p>
          <w:p w14:paraId="4E3F9301">
            <w:pPr>
              <w:spacing w:line="400" w:lineRule="exact"/>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5、</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须在中标通知书发出后、合同签订前，向采购人提供所投产品的原厂售后服务承诺书原件，承诺质保期不低于3年，未能在采购人书面通知的合理期限（如5个工作日）内提供的，视为</w:t>
            </w:r>
            <w:r>
              <w:rPr>
                <w:rFonts w:hint="eastAsia" w:ascii="仿宋" w:hAnsi="仿宋" w:eastAsia="仿宋" w:cs="仿宋"/>
                <w:bCs/>
                <w:color w:val="auto"/>
                <w:sz w:val="21"/>
                <w:szCs w:val="21"/>
                <w:highlight w:val="none"/>
                <w:lang w:eastAsia="zh-CN"/>
              </w:rPr>
              <w:t>中标供应商</w:t>
            </w:r>
            <w:r>
              <w:rPr>
                <w:rFonts w:hint="eastAsia" w:ascii="仿宋" w:hAnsi="仿宋" w:eastAsia="仿宋" w:cs="仿宋"/>
                <w:bCs/>
                <w:color w:val="auto"/>
                <w:sz w:val="21"/>
                <w:szCs w:val="21"/>
                <w:highlight w:val="none"/>
              </w:rPr>
              <w:t>无正当理由放弃中标资格或拒不签订合同，采购人有权取消其中标资格，并依据招标文件及《民法典》第五百七十七条追究其缔约过失责任或违约责任，包括但不限于：赔偿采购人因此遭受的损失（包括但不限于重新采购的成本、重新采购中标价与原中标价的差额等），同时将相关情况报送财政部门。</w:t>
            </w:r>
          </w:p>
        </w:tc>
        <w:tc>
          <w:tcPr>
            <w:tcW w:w="3088" w:type="dxa"/>
          </w:tcPr>
          <w:p w14:paraId="3082944F">
            <w:pPr>
              <w:spacing w:line="360" w:lineRule="exact"/>
              <w:rPr>
                <w:rFonts w:hint="eastAsia" w:ascii="仿宋" w:hAnsi="仿宋" w:eastAsia="仿宋" w:cs="仿宋"/>
                <w:bCs/>
                <w:color w:val="auto"/>
                <w:szCs w:val="21"/>
                <w:highlight w:val="none"/>
              </w:rPr>
            </w:pPr>
          </w:p>
        </w:tc>
      </w:tr>
      <w:tr w14:paraId="2E4F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62C1CB05">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履约保证金收取及退付</w:t>
            </w:r>
          </w:p>
        </w:tc>
        <w:tc>
          <w:tcPr>
            <w:tcW w:w="5443" w:type="dxa"/>
            <w:vAlign w:val="center"/>
          </w:tcPr>
          <w:p w14:paraId="5FFFF151">
            <w:pPr>
              <w:numPr>
                <w:ilvl w:val="0"/>
                <w:numId w:val="2"/>
              </w:num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履约保证金收取</w:t>
            </w:r>
            <w:r>
              <w:rPr>
                <w:rFonts w:hint="eastAsia" w:ascii="仿宋" w:hAnsi="仿宋" w:eastAsia="仿宋" w:cs="仿宋"/>
                <w:color w:val="auto"/>
                <w:sz w:val="21"/>
                <w:szCs w:val="21"/>
                <w:highlight w:val="none"/>
              </w:rPr>
              <w:t>：履约保证金金额按成交价的5%（人民币，四舍五入到元）缴纳（中标供应商被认定为中小微企业的缴纳金额按成交价的2%）。由中标供应商在签订合同前将履约保证金以支票、汇票、本票等非现金方式缴入采购人指定账户。采购人开具履约保证金财务凭证给中标供应商。</w:t>
            </w:r>
          </w:p>
          <w:p w14:paraId="6A1EA66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rPr>
              <w:t>履约保证金退付</w:t>
            </w:r>
            <w:r>
              <w:rPr>
                <w:rFonts w:hint="eastAsia" w:ascii="仿宋" w:hAnsi="仿宋" w:eastAsia="仿宋" w:cs="仿宋"/>
                <w:color w:val="auto"/>
                <w:sz w:val="21"/>
                <w:szCs w:val="21"/>
                <w:highlight w:val="none"/>
              </w:rPr>
              <w:t>：中标供应商履行完合同约定权利义务事项且保修期满后无违约情况，凭《项目验收单》和履约保证金交纳凭证向采购人申请办理退还手续，采购人不得额外要求中标供应商提交其他证明材料，并应当自收到退还资料之日起5个工作日内退还其履约保证金（无息）。如中标供应商不按双方签订的合同规定履约，则没收其全部履约保证金，履约保证金不足以赔偿损失的，按实际损失赔偿。</w:t>
            </w:r>
          </w:p>
          <w:p w14:paraId="5D8D2E8F">
            <w:p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3、履约保证金递交方式：</w:t>
            </w:r>
            <w:r>
              <w:rPr>
                <w:rFonts w:hint="eastAsia" w:ascii="仿宋" w:hAnsi="仿宋" w:eastAsia="仿宋" w:cs="仿宋"/>
                <w:color w:val="auto"/>
                <w:sz w:val="21"/>
                <w:szCs w:val="21"/>
                <w:highlight w:val="none"/>
              </w:rPr>
              <w:t>支票、汇票、本票等非现金方式。由中标供应商在签订合同前按规定的金额直接缴入以下采购人账户。凭履约保证金缴纳凭证签订合同。</w:t>
            </w:r>
          </w:p>
          <w:p w14:paraId="1C3AFDC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开户名称：桂林电子科技大学</w:t>
            </w:r>
          </w:p>
          <w:p w14:paraId="1AA445F1">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开户银行：桂林市工商银行屏风支行</w:t>
            </w:r>
          </w:p>
          <w:p w14:paraId="1EDDD28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银行账号：2103215209249017694</w:t>
            </w:r>
          </w:p>
        </w:tc>
        <w:tc>
          <w:tcPr>
            <w:tcW w:w="3088" w:type="dxa"/>
          </w:tcPr>
          <w:p w14:paraId="5E045B68">
            <w:pPr>
              <w:spacing w:line="360" w:lineRule="exact"/>
              <w:rPr>
                <w:rFonts w:hint="eastAsia" w:ascii="仿宋" w:hAnsi="仿宋" w:eastAsia="仿宋" w:cs="仿宋"/>
                <w:bCs/>
                <w:color w:val="auto"/>
                <w:szCs w:val="21"/>
                <w:highlight w:val="none"/>
              </w:rPr>
            </w:pPr>
          </w:p>
        </w:tc>
      </w:tr>
      <w:tr w14:paraId="3606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8" w:type="dxa"/>
            <w:vAlign w:val="center"/>
          </w:tcPr>
          <w:p w14:paraId="5077D696">
            <w:pPr>
              <w:spacing w:line="4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其他要求</w:t>
            </w:r>
          </w:p>
        </w:tc>
        <w:tc>
          <w:tcPr>
            <w:tcW w:w="5443" w:type="dxa"/>
            <w:vAlign w:val="center"/>
          </w:tcPr>
          <w:p w14:paraId="2DC608CD">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所提供的任何材料应当真实有效，如在评审过程中发现供应商在投标文件中提供任何虚假材料的，按投标无效处理，采购人有权汇报监督管理部门处理；中标后，采购人发现供应商在投标文件中提供任何虚假材料的，采购人有权汇报监督管理部门处理，且中标供应商须依照《中华人民共和国消费者权益保护法》赔偿采购人，民事赔偿并不免除违法中标供应商的法律责任。</w:t>
            </w:r>
          </w:p>
          <w:p w14:paraId="67F7CA75">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2、本项目货物涉及的产品及其配件包括但不限于各类芯片等必须符合国家有关政策规定，不得使用国家禁止使用范围内的产品及其配件，否则投标无效。</w:t>
            </w:r>
          </w:p>
          <w:p w14:paraId="18F4EE4D">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供应商的法律责任，其不利后果由供应商全部承担。</w:t>
            </w:r>
          </w:p>
          <w:p w14:paraId="36FAE1E1">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4、若供应商为本项目标的及标的涉及的相关材料、设备、人员、运输等购买保险的，相关费用由供应商自行承担。</w:t>
            </w:r>
          </w:p>
          <w:p w14:paraId="63816D34">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
              </w:rPr>
              <w:t>5、</w:t>
            </w:r>
            <w:r>
              <w:rPr>
                <w:rFonts w:hint="eastAsia" w:ascii="仿宋" w:hAnsi="仿宋" w:eastAsia="仿宋" w:cs="仿宋"/>
                <w:color w:val="auto"/>
                <w:sz w:val="21"/>
                <w:szCs w:val="21"/>
                <w:highlight w:val="none"/>
              </w:rPr>
              <w:t>为确保得到可靠的售后服务，要求中标供应商必须在签订合同后，3个工作日内提供所投所有产品生产厂家出具的原厂售后服务保证书原件、授权书原件、技术参数确认函，并加盖原厂商公章。</w:t>
            </w:r>
          </w:p>
          <w:p w14:paraId="5B3170E2">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6、要求供应商以及所投产品生产厂家均具有良好的商业信誉，未在信用中国或中国政府采购网被列入失信名单。</w:t>
            </w:r>
          </w:p>
          <w:p w14:paraId="3F01180F">
            <w:pPr>
              <w:spacing w:line="40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7、本项目已进行进口产品申报，接受进口产品参与投标（即通过中国海关报关验放进入中国境内且产自关境外的产品）。</w:t>
            </w:r>
          </w:p>
          <w:p w14:paraId="6D7C99A0">
            <w:pPr>
              <w:spacing w:line="4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8、本项目采购预算金额（人民币）：</w:t>
            </w:r>
            <w:r>
              <w:rPr>
                <w:rFonts w:hint="eastAsia" w:ascii="仿宋" w:hAnsi="仿宋" w:eastAsia="仿宋" w:cs="仿宋"/>
                <w:color w:val="auto"/>
                <w:sz w:val="21"/>
                <w:szCs w:val="21"/>
                <w:highlight w:val="none"/>
                <w:lang w:val="en-US" w:eastAsia="zh-CN"/>
              </w:rPr>
              <w:t>肆佰叁拾壹万伍仟元整</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4315000</w:t>
            </w:r>
            <w:r>
              <w:rPr>
                <w:rFonts w:hint="eastAsia" w:ascii="仿宋" w:hAnsi="仿宋" w:eastAsia="仿宋" w:cs="仿宋"/>
                <w:color w:val="auto"/>
                <w:sz w:val="21"/>
                <w:szCs w:val="21"/>
                <w:highlight w:val="none"/>
              </w:rPr>
              <w:t>.00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投标报价超过采购预算金额的，投标文件按无效处理。投标报价包括本次招标采购范围内技术服务费、货物价款、货物随配标准附件等的送货上门、安装调试、现场技术、使用培训、售后服务、验收检验及税金等所有费用的总和，供应商应综合考虑在报价中，采购人不再另行支付投标报价之外的任何费用。</w:t>
            </w:r>
          </w:p>
        </w:tc>
        <w:tc>
          <w:tcPr>
            <w:tcW w:w="3088" w:type="dxa"/>
          </w:tcPr>
          <w:p w14:paraId="0BBE17A3">
            <w:pPr>
              <w:spacing w:line="360" w:lineRule="exact"/>
              <w:rPr>
                <w:rFonts w:hint="eastAsia" w:ascii="仿宋" w:hAnsi="仿宋" w:eastAsia="仿宋" w:cs="仿宋"/>
                <w:bCs/>
                <w:color w:val="auto"/>
                <w:szCs w:val="21"/>
                <w:highlight w:val="none"/>
              </w:rPr>
            </w:pPr>
          </w:p>
        </w:tc>
      </w:tr>
    </w:tbl>
    <w:p w14:paraId="2E117051">
      <w:pPr>
        <w:pStyle w:val="3"/>
        <w:rPr>
          <w:rFonts w:hint="eastAsia" w:ascii="仿宋" w:hAnsi="仿宋" w:eastAsia="仿宋" w:cs="仿宋"/>
          <w:color w:val="auto"/>
          <w:highlight w:val="none"/>
        </w:rPr>
      </w:pPr>
    </w:p>
    <w:p w14:paraId="135CB864">
      <w:pPr>
        <w:spacing w:line="360" w:lineRule="auto"/>
        <w:jc w:val="right"/>
        <w:rPr>
          <w:rFonts w:hint="eastAsia" w:ascii="仿宋" w:hAnsi="仿宋" w:eastAsia="仿宋" w:cs="仿宋"/>
          <w:color w:val="auto"/>
          <w:highlight w:val="none"/>
        </w:rPr>
      </w:pPr>
    </w:p>
    <w:p w14:paraId="4E112B81">
      <w:pPr>
        <w:spacing w:line="360" w:lineRule="auto"/>
        <w:jc w:val="right"/>
        <w:rPr>
          <w:rFonts w:hint="eastAsia" w:ascii="仿宋" w:hAnsi="仿宋" w:eastAsia="仿宋" w:cs="仿宋"/>
          <w:color w:val="auto"/>
          <w:highlight w:val="none"/>
        </w:rPr>
      </w:pPr>
    </w:p>
    <w:p w14:paraId="2328715A">
      <w:pPr>
        <w:spacing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调查机构：广西科文招标有限公司</w:t>
      </w:r>
    </w:p>
    <w:p w14:paraId="4A864426">
      <w:pPr>
        <w:spacing w:line="360" w:lineRule="auto"/>
        <w:jc w:val="righ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李工</w:t>
      </w:r>
      <w:r>
        <w:rPr>
          <w:rFonts w:hint="eastAsia" w:ascii="仿宋" w:hAnsi="仿宋" w:eastAsia="仿宋" w:cs="仿宋"/>
          <w:color w:val="auto"/>
          <w:highlight w:val="none"/>
        </w:rPr>
        <w:t>，联系电话：077</w:t>
      </w:r>
      <w:r>
        <w:rPr>
          <w:rFonts w:hint="eastAsia" w:ascii="仿宋" w:hAnsi="仿宋" w:eastAsia="仿宋" w:cs="仿宋"/>
          <w:color w:val="auto"/>
          <w:highlight w:val="none"/>
          <w:lang w:val="en-US" w:eastAsia="zh-CN"/>
        </w:rPr>
        <w:t>3-7593227</w:t>
      </w:r>
    </w:p>
    <w:p w14:paraId="120966B8">
      <w:pPr>
        <w:pStyle w:val="3"/>
        <w:jc w:val="righ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发布日期：2026年6月23日</w:t>
      </w:r>
    </w:p>
    <w:p w14:paraId="7C98E5F1">
      <w:pPr>
        <w:spacing w:line="400" w:lineRule="exact"/>
        <w:jc w:val="center"/>
        <w:rPr>
          <w:rFonts w:hint="eastAsia" w:ascii="仿宋" w:hAnsi="仿宋" w:eastAsia="仿宋" w:cs="仿宋"/>
          <w:b/>
          <w:bCs/>
          <w:color w:val="auto"/>
          <w:sz w:val="24"/>
          <w:szCs w:val="21"/>
          <w:highlight w:val="none"/>
        </w:rPr>
      </w:pPr>
    </w:p>
    <w:p w14:paraId="3B6D7A80">
      <w:pPr>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填表说明：</w:t>
      </w:r>
    </w:p>
    <w:p w14:paraId="360EAE11">
      <w:pPr>
        <w:spacing w:line="36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1.调查问卷回复时间截止：202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日18:00之前，回复接收邮箱：</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"mailto:2357709502@qq.com" </w:instrText>
      </w:r>
      <w:r>
        <w:rPr>
          <w:rFonts w:hint="eastAsia" w:ascii="仿宋" w:hAnsi="仿宋" w:eastAsia="仿宋" w:cs="仿宋"/>
          <w:color w:val="auto"/>
          <w:highlight w:val="none"/>
        </w:rPr>
        <w:fldChar w:fldCharType="separate"/>
      </w:r>
      <w:r>
        <w:rPr>
          <w:rStyle w:val="11"/>
          <w:rFonts w:hint="eastAsia" w:ascii="仿宋" w:hAnsi="仿宋" w:eastAsia="仿宋" w:cs="仿宋"/>
          <w:color w:val="auto"/>
          <w:szCs w:val="21"/>
          <w:highlight w:val="none"/>
          <w:lang w:val="en-US" w:eastAsia="zh-CN"/>
        </w:rPr>
        <w:t>540023229</w:t>
      </w:r>
      <w:r>
        <w:rPr>
          <w:rStyle w:val="11"/>
          <w:rFonts w:hint="eastAsia" w:ascii="仿宋" w:hAnsi="仿宋" w:eastAsia="仿宋" w:cs="仿宋"/>
          <w:color w:val="auto"/>
          <w:szCs w:val="21"/>
          <w:highlight w:val="none"/>
        </w:rPr>
        <w:t>@qq.com</w:t>
      </w:r>
      <w:r>
        <w:rPr>
          <w:rStyle w:val="11"/>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w:t>
      </w:r>
    </w:p>
    <w:p w14:paraId="37C065AE">
      <w:pPr>
        <w:spacing w:line="360" w:lineRule="exact"/>
        <w:jc w:val="left"/>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color w:val="auto"/>
          <w:szCs w:val="21"/>
          <w:highlight w:val="none"/>
        </w:rPr>
        <w:t>2.本问卷仅需提供盖公章的PDF文件1份和可修改WORD文件1份。（问卷回复必须加盖单位公章，填写联系人）</w:t>
      </w:r>
      <w:r>
        <w:rPr>
          <w:rFonts w:hint="eastAsia" w:ascii="仿宋" w:hAnsi="仿宋" w:eastAsia="仿宋" w:cs="仿宋"/>
          <w:color w:val="auto"/>
          <w:szCs w:val="21"/>
          <w:highlight w:val="none"/>
          <w:lang w:eastAsia="zh-CN"/>
        </w:rPr>
        <w:t>。</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328987CB"/>
    <w:multiLevelType w:val="singleLevel"/>
    <w:tmpl w:val="328987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OTc5MThiYTY4MWNlNzFmNGMwMTJhZGU2MDY4NTAifQ=="/>
  </w:docVars>
  <w:rsids>
    <w:rsidRoot w:val="1029275C"/>
    <w:rsid w:val="04920422"/>
    <w:rsid w:val="08C72115"/>
    <w:rsid w:val="1029275C"/>
    <w:rsid w:val="10855BDB"/>
    <w:rsid w:val="15173B3C"/>
    <w:rsid w:val="190D6D36"/>
    <w:rsid w:val="1F3B1B5F"/>
    <w:rsid w:val="237C3518"/>
    <w:rsid w:val="256242E5"/>
    <w:rsid w:val="3039239B"/>
    <w:rsid w:val="32342D11"/>
    <w:rsid w:val="35746B78"/>
    <w:rsid w:val="3B807D9E"/>
    <w:rsid w:val="3C1A012A"/>
    <w:rsid w:val="3C220B66"/>
    <w:rsid w:val="47F87D95"/>
    <w:rsid w:val="57DB3F7B"/>
    <w:rsid w:val="5B890BD0"/>
    <w:rsid w:val="645B6C9E"/>
    <w:rsid w:val="6B444222"/>
    <w:rsid w:val="748C428E"/>
    <w:rsid w:val="74B90B5D"/>
    <w:rsid w:val="78F50A48"/>
    <w:rsid w:val="7CFB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3">
    <w:name w:val="Normal Indent"/>
    <w:basedOn w:val="1"/>
    <w:qFormat/>
    <w:uiPriority w:val="0"/>
    <w:pPr>
      <w:ind w:firstLine="420"/>
    </w:pPr>
    <w:rPr>
      <w:szCs w:val="20"/>
    </w:rPr>
  </w:style>
  <w:style w:type="paragraph" w:styleId="4">
    <w:name w:val="annotation text"/>
    <w:basedOn w:val="1"/>
    <w:semiHidden/>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333333"/>
      <w:u w:val="none"/>
    </w:rPr>
  </w:style>
  <w:style w:type="character" w:styleId="10">
    <w:name w:val="Emphasis"/>
    <w:basedOn w:val="8"/>
    <w:qFormat/>
    <w:uiPriority w:val="0"/>
    <w:rPr>
      <w:i/>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5633</Words>
  <Characters>6401</Characters>
  <Lines>0</Lines>
  <Paragraphs>0</Paragraphs>
  <TotalTime>0</TotalTime>
  <ScaleCrop>false</ScaleCrop>
  <LinksUpToDate>false</LinksUpToDate>
  <CharactersWithSpaces>6415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2024-09-13T07:20:00Z</dcterms:created>
  <dc:creator>Administrator</dc:creator>
  <cp:lastModifiedBy>Administrator</cp:lastModifiedBy>
  <dcterms:modified xsi:type="dcterms:W3CDTF">2026-06-23T03:09:23Z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705E87CF5FF448E3AB01C3C6B86955BE_13</vt:lpwstr>
  </property>
  <property fmtid="{D5CDD505-2E9C-101B-9397-08002B2CF9AE}" pid="4" name="KSOTemplateDocerSaveRecord">
    <vt:lpwstr>eyJoZGlkIjoiMjg3MDkwMDBmOWYxNWM2MGFhZDFiZWE0NzI1Y2Q2MDciLCJ1c2VySWQiOiIxMTg0MzM2NDk5In0=</vt:lpwstr>
  </property>
</Properties>
</file>