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FF5D">
      <w:pPr>
        <w:spacing w:line="360" w:lineRule="auto"/>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业务流程辅助外包服务采购需求</w:t>
      </w:r>
    </w:p>
    <w:p w14:paraId="066DE18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粗仿宋" w:hAnsi="宋体" w:eastAsia="彩虹粗仿宋" w:cs="Times New Roman"/>
          <w:b/>
          <w:snapToGrid w:val="0"/>
          <w:kern w:val="0"/>
          <w:sz w:val="32"/>
          <w:szCs w:val="32"/>
        </w:rPr>
      </w:pPr>
    </w:p>
    <w:p w14:paraId="756A5F2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黑体" w:hAnsi="彩虹黑体" w:eastAsia="彩虹黑体" w:cs="彩虹黑体"/>
          <w:b w:val="0"/>
          <w:bCs/>
          <w:snapToGrid w:val="0"/>
          <w:kern w:val="0"/>
          <w:sz w:val="32"/>
          <w:szCs w:val="32"/>
        </w:rPr>
      </w:pPr>
      <w:r>
        <w:rPr>
          <w:rFonts w:hint="eastAsia" w:ascii="彩虹粗仿宋" w:eastAsia="彩虹粗仿宋"/>
          <w:sz w:val="32"/>
          <w:szCs w:val="32"/>
        </w:rPr>
        <w:t>投标人需为我行提供个贷业务流程辅助、个贷业务档案整理、房改金融业务驻点服务、普惠贷款辅助管理</w:t>
      </w:r>
      <w:r>
        <w:rPr>
          <w:rFonts w:hint="eastAsia" w:ascii="彩虹粗仿宋" w:eastAsia="彩虹粗仿宋"/>
          <w:sz w:val="32"/>
          <w:szCs w:val="32"/>
          <w:lang w:val="en-US" w:eastAsia="zh-CN"/>
        </w:rPr>
        <w:t>4个服务项目</w:t>
      </w:r>
      <w:r>
        <w:rPr>
          <w:rFonts w:hint="eastAsia" w:ascii="彩虹粗仿宋" w:eastAsia="彩虹粗仿宋"/>
          <w:sz w:val="32"/>
          <w:szCs w:val="32"/>
        </w:rPr>
        <w:t>，本次合作期限</w:t>
      </w:r>
      <w:r>
        <w:rPr>
          <w:rFonts w:hint="eastAsia" w:ascii="彩虹粗仿宋" w:eastAsia="彩虹粗仿宋"/>
          <w:bCs/>
          <w:sz w:val="32"/>
          <w:szCs w:val="32"/>
        </w:rPr>
        <w:t>开始时间预计为从合同签订之日起，服务期限</w:t>
      </w:r>
      <w:r>
        <w:rPr>
          <w:rFonts w:hint="eastAsia" w:ascii="彩虹粗仿宋" w:eastAsia="彩虹粗仿宋"/>
          <w:bCs/>
          <w:sz w:val="32"/>
          <w:szCs w:val="32"/>
          <w:lang w:val="en-US" w:eastAsia="zh-CN"/>
        </w:rPr>
        <w:t>为两年</w:t>
      </w:r>
      <w:r>
        <w:rPr>
          <w:rFonts w:hint="eastAsia" w:ascii="彩虹粗仿宋" w:eastAsia="彩虹粗仿宋"/>
          <w:bCs/>
          <w:sz w:val="32"/>
          <w:szCs w:val="32"/>
        </w:rPr>
        <w:t>。</w:t>
      </w:r>
      <w:r>
        <w:rPr>
          <w:rFonts w:hint="eastAsia" w:ascii="彩虹粗仿宋" w:eastAsia="彩虹粗仿宋"/>
          <w:sz w:val="32"/>
          <w:szCs w:val="32"/>
        </w:rPr>
        <w:t>在服务合作期限内，如建设银行总行要求停止该项业务外包，则合同终止</w:t>
      </w:r>
      <w:r>
        <w:rPr>
          <w:rFonts w:hint="eastAsia" w:ascii="彩虹粗仿宋" w:eastAsia="彩虹粗仿宋"/>
          <w:sz w:val="32"/>
          <w:szCs w:val="32"/>
          <w:lang w:eastAsia="zh-CN"/>
        </w:rPr>
        <w:t>，</w:t>
      </w:r>
      <w:r>
        <w:rPr>
          <w:rFonts w:hint="eastAsia" w:ascii="彩虹粗仿宋" w:eastAsia="彩虹粗仿宋"/>
          <w:sz w:val="32"/>
          <w:szCs w:val="32"/>
          <w:lang w:val="en-US" w:eastAsia="zh-CN"/>
        </w:rPr>
        <w:t>且我行不承担任何责任</w:t>
      </w:r>
      <w:r>
        <w:rPr>
          <w:rFonts w:hint="eastAsia" w:ascii="彩虹粗仿宋" w:eastAsia="彩虹粗仿宋"/>
          <w:sz w:val="32"/>
          <w:szCs w:val="32"/>
        </w:rPr>
        <w:t>。</w:t>
      </w:r>
    </w:p>
    <w:p w14:paraId="47C57450">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eastAsia="彩虹粗仿宋"/>
          <w:sz w:val="32"/>
          <w:szCs w:val="32"/>
        </w:rPr>
      </w:pPr>
      <w:r>
        <w:rPr>
          <w:rFonts w:hint="eastAsia" w:ascii="彩虹黑体" w:hAnsi="彩虹黑体" w:eastAsia="彩虹黑体" w:cs="彩虹黑体"/>
          <w:b w:val="0"/>
          <w:bCs/>
          <w:snapToGrid w:val="0"/>
          <w:kern w:val="0"/>
          <w:sz w:val="32"/>
          <w:szCs w:val="32"/>
        </w:rPr>
        <w:t>一、服务内容</w:t>
      </w:r>
    </w:p>
    <w:p w14:paraId="20BFBA8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楷体" w:eastAsia="彩虹楷体"/>
          <w:b/>
          <w:sz w:val="32"/>
          <w:szCs w:val="32"/>
        </w:rPr>
      </w:pPr>
      <w:r>
        <w:rPr>
          <w:rFonts w:hint="eastAsia" w:ascii="彩虹楷体" w:eastAsia="彩虹楷体"/>
          <w:b/>
          <w:sz w:val="32"/>
          <w:szCs w:val="32"/>
        </w:rPr>
        <w:t>（一）个贷业务流程辅助</w:t>
      </w:r>
    </w:p>
    <w:p w14:paraId="762A584A">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eastAsia="彩虹粗仿宋"/>
          <w:sz w:val="32"/>
          <w:szCs w:val="32"/>
        </w:rPr>
      </w:pPr>
      <w:r>
        <w:rPr>
          <w:rFonts w:ascii="彩虹粗仿宋" w:eastAsia="彩虹粗仿宋"/>
          <w:sz w:val="32"/>
          <w:szCs w:val="32"/>
        </w:rPr>
        <w:t>个贷业务流程辅助</w:t>
      </w:r>
      <w:r>
        <w:rPr>
          <w:rFonts w:hint="eastAsia" w:ascii="彩虹粗仿宋" w:eastAsia="彩虹粗仿宋"/>
          <w:sz w:val="32"/>
          <w:szCs w:val="32"/>
        </w:rPr>
        <w:t>服务内容主要为</w:t>
      </w:r>
      <w:r>
        <w:rPr>
          <w:rFonts w:ascii="彩虹粗仿宋" w:eastAsia="彩虹粗仿宋"/>
          <w:sz w:val="32"/>
          <w:szCs w:val="32"/>
        </w:rPr>
        <w:t>流程化专职处理信息录入、信息采集、合同制作、及抵押登记（不含取件）等</w:t>
      </w:r>
      <w:r>
        <w:rPr>
          <w:rFonts w:hint="eastAsia" w:ascii="彩虹粗仿宋" w:eastAsia="彩虹粗仿宋"/>
          <w:sz w:val="32"/>
          <w:szCs w:val="32"/>
        </w:rPr>
        <w:t>不涉及核心环节的</w:t>
      </w:r>
      <w:r>
        <w:rPr>
          <w:rFonts w:ascii="彩虹粗仿宋" w:eastAsia="彩虹粗仿宋"/>
          <w:sz w:val="32"/>
          <w:szCs w:val="32"/>
        </w:rPr>
        <w:t>事务性工作</w:t>
      </w:r>
      <w:r>
        <w:rPr>
          <w:rFonts w:hint="eastAsia" w:ascii="彩虹粗仿宋" w:eastAsia="彩虹粗仿宋"/>
          <w:sz w:val="32"/>
          <w:szCs w:val="32"/>
        </w:rPr>
        <w:t>，具体如下表：</w:t>
      </w:r>
    </w:p>
    <w:tbl>
      <w:tblPr>
        <w:tblStyle w:val="5"/>
        <w:tblW w:w="5000" w:type="pct"/>
        <w:tblInd w:w="0" w:type="dxa"/>
        <w:tblLayout w:type="autofit"/>
        <w:tblCellMar>
          <w:top w:w="0" w:type="dxa"/>
          <w:left w:w="108" w:type="dxa"/>
          <w:bottom w:w="0" w:type="dxa"/>
          <w:right w:w="108" w:type="dxa"/>
        </w:tblCellMar>
      </w:tblPr>
      <w:tblGrid>
        <w:gridCol w:w="1612"/>
        <w:gridCol w:w="6910"/>
      </w:tblGrid>
      <w:tr w14:paraId="0F19A60D">
        <w:tblPrEx>
          <w:tblCellMar>
            <w:top w:w="0" w:type="dxa"/>
            <w:left w:w="108" w:type="dxa"/>
            <w:bottom w:w="0" w:type="dxa"/>
            <w:right w:w="108" w:type="dxa"/>
          </w:tblCellMar>
        </w:tblPrEx>
        <w:trPr>
          <w:trHeight w:val="270" w:hRule="atLeast"/>
        </w:trPr>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DE68C1">
            <w:pPr>
              <w:widowControl/>
              <w:jc w:val="center"/>
              <w:rPr>
                <w:rFonts w:ascii="宋体" w:hAnsi="宋体" w:eastAsia="宋体" w:cs="宋体"/>
                <w:b/>
                <w:szCs w:val="21"/>
              </w:rPr>
            </w:pPr>
            <w:r>
              <w:rPr>
                <w:rFonts w:hint="eastAsia" w:ascii="宋体" w:hAnsi="宋体" w:eastAsia="宋体" w:cs="宋体"/>
                <w:b/>
                <w:szCs w:val="21"/>
              </w:rPr>
              <w:t>外包事项</w:t>
            </w:r>
          </w:p>
        </w:tc>
        <w:tc>
          <w:tcPr>
            <w:tcW w:w="4054" w:type="pct"/>
            <w:tcBorders>
              <w:top w:val="single" w:color="auto" w:sz="4" w:space="0"/>
              <w:left w:val="single" w:color="auto" w:sz="4" w:space="0"/>
              <w:bottom w:val="single" w:color="auto" w:sz="4" w:space="0"/>
              <w:right w:val="single" w:color="auto" w:sz="4" w:space="0"/>
            </w:tcBorders>
          </w:tcPr>
          <w:p w14:paraId="610E00C7">
            <w:pPr>
              <w:widowControl/>
              <w:jc w:val="center"/>
              <w:rPr>
                <w:rFonts w:ascii="宋体" w:hAnsi="宋体" w:eastAsia="宋体" w:cs="宋体"/>
                <w:b/>
                <w:szCs w:val="21"/>
                <w:highlight w:val="yellow"/>
              </w:rPr>
            </w:pPr>
            <w:r>
              <w:rPr>
                <w:rFonts w:hint="eastAsia" w:ascii="宋体" w:hAnsi="宋体" w:eastAsia="宋体" w:cs="宋体"/>
                <w:b/>
                <w:szCs w:val="21"/>
              </w:rPr>
              <w:t>工作内容</w:t>
            </w:r>
          </w:p>
        </w:tc>
      </w:tr>
      <w:tr w14:paraId="2B205C10">
        <w:tblPrEx>
          <w:tblCellMar>
            <w:top w:w="0" w:type="dxa"/>
            <w:left w:w="108" w:type="dxa"/>
            <w:bottom w:w="0" w:type="dxa"/>
            <w:right w:w="108" w:type="dxa"/>
          </w:tblCellMar>
        </w:tblPrEx>
        <w:trPr>
          <w:trHeight w:val="27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2F29C6ED">
            <w:pPr>
              <w:widowControl/>
              <w:jc w:val="center"/>
              <w:rPr>
                <w:rFonts w:ascii="宋体" w:hAnsi="宋体" w:eastAsia="宋体" w:cs="宋体"/>
                <w:szCs w:val="21"/>
              </w:rPr>
            </w:pPr>
            <w:r>
              <w:rPr>
                <w:rFonts w:hint="eastAsia" w:ascii="宋体" w:hAnsi="宋体" w:eastAsia="宋体" w:cs="宋体"/>
                <w:szCs w:val="21"/>
              </w:rPr>
              <w:t>个贷-信息录入</w:t>
            </w:r>
          </w:p>
        </w:tc>
        <w:tc>
          <w:tcPr>
            <w:tcW w:w="4054" w:type="pct"/>
            <w:tcBorders>
              <w:top w:val="nil"/>
              <w:left w:val="single" w:color="auto" w:sz="4" w:space="0"/>
              <w:bottom w:val="single" w:color="auto" w:sz="4" w:space="0"/>
              <w:right w:val="single" w:color="auto" w:sz="4" w:space="0"/>
            </w:tcBorders>
          </w:tcPr>
          <w:p w14:paraId="1EC11CB7">
            <w:r>
              <w:rPr>
                <w:rFonts w:hint="eastAsia"/>
              </w:rPr>
              <w:t>对业务信息进行录入、核对、维护查询、更新、数据清理、台账登记以及在相应系统中录入相关抵押物信息等，一笔个人贷款的信息录入全流程工作记作1笔业务量。信息录入人员对照纸质贷款申请资料或调阅贷款影像资料，在系统中补充录入包括但不限于借款申请人基本信息、贷款信息、收款账号信息、委托扣款账号信息及担保关联信息等系统录入项；因系统流程控制或客观原因导致新增的贷款如需修改客户基本信息或贷款信息的，由信息录入岗修改，信息录入人员仔细对照系统记录信息和贷款申请资料，对不一致的，按修改后的贷款申请资料进行修改，上述1笔贷款的录入信息修改及相应影像资料修改操作合并计算工作量，并按照每5笔折成1笔正常业务计算。</w:t>
            </w:r>
          </w:p>
        </w:tc>
      </w:tr>
      <w:tr w14:paraId="60528A56">
        <w:tblPrEx>
          <w:tblCellMar>
            <w:top w:w="0" w:type="dxa"/>
            <w:left w:w="108" w:type="dxa"/>
            <w:bottom w:w="0" w:type="dxa"/>
            <w:right w:w="108" w:type="dxa"/>
          </w:tblCellMar>
        </w:tblPrEx>
        <w:trPr>
          <w:trHeight w:val="9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38E3BCC8">
            <w:pPr>
              <w:widowControl/>
              <w:jc w:val="center"/>
              <w:rPr>
                <w:rFonts w:ascii="宋体" w:hAnsi="宋体" w:eastAsia="宋体" w:cs="宋体"/>
                <w:szCs w:val="21"/>
              </w:rPr>
            </w:pPr>
            <w:r>
              <w:rPr>
                <w:rFonts w:hint="eastAsia" w:ascii="宋体" w:hAnsi="宋体" w:eastAsia="宋体" w:cs="宋体"/>
                <w:szCs w:val="21"/>
              </w:rPr>
              <w:t>个贷-信息采集</w:t>
            </w:r>
          </w:p>
        </w:tc>
        <w:tc>
          <w:tcPr>
            <w:tcW w:w="4054" w:type="pct"/>
            <w:tcBorders>
              <w:top w:val="nil"/>
              <w:left w:val="single" w:color="auto" w:sz="4" w:space="0"/>
              <w:bottom w:val="single" w:color="auto" w:sz="4" w:space="0"/>
              <w:right w:val="single" w:color="auto" w:sz="4" w:space="0"/>
            </w:tcBorders>
          </w:tcPr>
          <w:p w14:paraId="1EB82EE7">
            <w:r>
              <w:rPr>
                <w:rFonts w:hint="eastAsia"/>
              </w:rPr>
              <w:t>贷前业务档案采集扫描形成影像信息，并保存到相关管理系统和房改业务特色平台，并进行纸质档案整理，一笔个人贷款的贷前信息采集全流程工作记作1笔业务量（除第④条中需另外折算的工作内容外）。包括①按照行内业务流程规定将贷款申请材料扫描形成影像信息并保存到相关管理系统。②负责按照个人贷款档案管理相关规定对一般档案资料进行整理归档，具体涉及的环节为分类建立档案台账、资料整理、制作封皮、材料装订成册、打印侧正面封皮清单、粘贴、打包移交。③负责协助整理实物权证。④档案资料接收整理：负责接收甲方所辖二级分支机构移交的档案，分类建立台账，整理后列清单移交扫描公司扫描，对完成扫描后的档案清点接收入库。对接收甲方各二级行移交的档案整理工作（不含期转现业务纸质材料整理归档）每10笔折成1笔正常业务。</w:t>
            </w:r>
            <w:r>
              <w:rPr>
                <w:rFonts w:hint="eastAsia"/>
                <w:lang w:val="en-US" w:eastAsia="zh-CN"/>
              </w:rPr>
              <w:t>⑤</w:t>
            </w:r>
            <w:r>
              <w:rPr>
                <w:rFonts w:hint="eastAsia"/>
              </w:rPr>
              <w:t>涉及档案整理环节的其他内容。</w:t>
            </w:r>
          </w:p>
        </w:tc>
      </w:tr>
      <w:tr w14:paraId="6319E89F">
        <w:tblPrEx>
          <w:tblCellMar>
            <w:top w:w="0" w:type="dxa"/>
            <w:left w:w="108" w:type="dxa"/>
            <w:bottom w:w="0" w:type="dxa"/>
            <w:right w:w="108" w:type="dxa"/>
          </w:tblCellMar>
        </w:tblPrEx>
        <w:trPr>
          <w:trHeight w:val="27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27841CEC">
            <w:pPr>
              <w:widowControl/>
              <w:jc w:val="center"/>
              <w:rPr>
                <w:rFonts w:ascii="宋体" w:hAnsi="宋体" w:eastAsia="宋体" w:cs="宋体"/>
                <w:szCs w:val="21"/>
              </w:rPr>
            </w:pPr>
            <w:r>
              <w:rPr>
                <w:rFonts w:hint="eastAsia" w:ascii="宋体" w:hAnsi="宋体" w:eastAsia="宋体" w:cs="宋体"/>
                <w:szCs w:val="21"/>
              </w:rPr>
              <w:t>个贷-合同制作</w:t>
            </w:r>
          </w:p>
        </w:tc>
        <w:tc>
          <w:tcPr>
            <w:tcW w:w="4054" w:type="pct"/>
            <w:tcBorders>
              <w:top w:val="nil"/>
              <w:left w:val="single" w:color="auto" w:sz="4" w:space="0"/>
              <w:bottom w:val="single" w:color="auto" w:sz="4" w:space="0"/>
              <w:right w:val="single" w:color="auto" w:sz="4" w:space="0"/>
            </w:tcBorders>
          </w:tcPr>
          <w:p w14:paraId="15890B76">
            <w:r>
              <w:rPr>
                <w:rFonts w:hint="eastAsia"/>
              </w:rPr>
              <w:t>使用个贷产品对应的合同文本，完成合同制作等服务，一笔个人贷款的合同制作全流程工作记作1笔业务量。包括①负责接收需合同制作的贷款材料。②填写合同格式条款，负责</w:t>
            </w:r>
            <w:r>
              <w:rPr>
                <w:rFonts w:hint="eastAsia"/>
                <w:lang w:val="en-US" w:eastAsia="zh-CN"/>
              </w:rPr>
              <w:t>将</w:t>
            </w:r>
            <w:r>
              <w:rPr>
                <w:rFonts w:hint="eastAsia"/>
              </w:rPr>
              <w:t>贷款材料与借款合同匹配、复印所需材料。③打印制作或手工填列合同内容，粘贴、装订合同，将制作好的合同分类汇总整理。④制作合同制作报表上报。⑤负责合同制作环节的其他内容。</w:t>
            </w:r>
          </w:p>
        </w:tc>
      </w:tr>
      <w:tr w14:paraId="14E0143F">
        <w:tblPrEx>
          <w:tblCellMar>
            <w:top w:w="0" w:type="dxa"/>
            <w:left w:w="108" w:type="dxa"/>
            <w:bottom w:w="0" w:type="dxa"/>
            <w:right w:w="108" w:type="dxa"/>
          </w:tblCellMar>
        </w:tblPrEx>
        <w:trPr>
          <w:trHeight w:val="27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1D7AFEA2">
            <w:pPr>
              <w:widowControl/>
              <w:jc w:val="center"/>
              <w:rPr>
                <w:rFonts w:ascii="宋体" w:hAnsi="宋体" w:eastAsia="宋体" w:cs="宋体"/>
                <w:szCs w:val="21"/>
              </w:rPr>
            </w:pPr>
            <w:r>
              <w:rPr>
                <w:rFonts w:hint="eastAsia" w:ascii="宋体" w:hAnsi="宋体" w:eastAsia="宋体" w:cs="宋体"/>
                <w:szCs w:val="21"/>
              </w:rPr>
              <w:t>个贷-抵押登记</w:t>
            </w:r>
          </w:p>
        </w:tc>
        <w:tc>
          <w:tcPr>
            <w:tcW w:w="4054" w:type="pct"/>
            <w:tcBorders>
              <w:top w:val="nil"/>
              <w:left w:val="single" w:color="auto" w:sz="4" w:space="0"/>
              <w:bottom w:val="single" w:color="auto" w:sz="4" w:space="0"/>
              <w:right w:val="single" w:color="auto" w:sz="4" w:space="0"/>
            </w:tcBorders>
          </w:tcPr>
          <w:p w14:paraId="53E8AB26">
            <w:r>
              <w:rPr>
                <w:rFonts w:hint="eastAsia"/>
              </w:rPr>
              <w:t>新发放个人贷款业务抵押登记办理，对以担保方式为抵押的个人贷款业务办理往返房屋管理部门的房屋抵押手续，将办理抵押登记的材料送交房屋管理部门，一笔个人贷款的抵押登记办理全流程工作记作1笔业务量。包括①协助抵押岗提出办理抵押申请，将材料送到房产交易中心。②负责接收抵押材料，审核抵押材料齐全性、审核贷款材料中抵押信息准确性、手工补充填写抵押信息、做抵押报表。③负责抵押信息录入房产局或不动产登记中心等政务系统。④负责抵押材料拍照上传房产局或不动产登记中心等政务系统。⑤除取件外其他涉及抵押登记环节的相关内容。</w:t>
            </w:r>
          </w:p>
        </w:tc>
      </w:tr>
      <w:tr w14:paraId="58B38372">
        <w:tblPrEx>
          <w:tblCellMar>
            <w:top w:w="0" w:type="dxa"/>
            <w:left w:w="108" w:type="dxa"/>
            <w:bottom w:w="0" w:type="dxa"/>
            <w:right w:w="108" w:type="dxa"/>
          </w:tblCellMar>
        </w:tblPrEx>
        <w:trPr>
          <w:trHeight w:val="27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7E5F81C6">
            <w:pPr>
              <w:widowControl/>
              <w:jc w:val="center"/>
              <w:rPr>
                <w:rFonts w:ascii="宋体" w:hAnsi="宋体" w:eastAsia="宋体" w:cs="宋体"/>
                <w:szCs w:val="21"/>
              </w:rPr>
            </w:pPr>
            <w:r>
              <w:rPr>
                <w:rFonts w:hint="eastAsia" w:ascii="宋体" w:hAnsi="宋体" w:eastAsia="宋体" w:cs="宋体"/>
                <w:szCs w:val="21"/>
              </w:rPr>
              <w:t>贷后-信息采集</w:t>
            </w:r>
          </w:p>
        </w:tc>
        <w:tc>
          <w:tcPr>
            <w:tcW w:w="4054" w:type="pct"/>
            <w:tcBorders>
              <w:top w:val="nil"/>
              <w:left w:val="single" w:color="auto" w:sz="4" w:space="0"/>
              <w:bottom w:val="single" w:color="auto" w:sz="4" w:space="0"/>
              <w:right w:val="single" w:color="auto" w:sz="4" w:space="0"/>
            </w:tcBorders>
          </w:tcPr>
          <w:p w14:paraId="5293FD07">
            <w:r>
              <w:rPr>
                <w:rFonts w:hint="eastAsia"/>
              </w:rPr>
              <w:t>贷后业务档案采集扫描形成影像信息，并保存到相关管理系统和房改业务特色平台，并进行纸质档案整理，一笔个人贷款的贷后信息采集全流程工作记作1笔业务量（除第②条中需另外折算的工作内容外）。包括①按照行内业务流程规定将贷后业务纸质材料扫描形成影像信息并保存到相关管理系统。②负责按照个人贷款档案管理相关规定对客户提前还款、结清等二次档案资料进行整理归档，具体涉及的环节为分类建立档案台账、资料整理、制作封皮、材料装订成册、打印侧正面封皮清单、粘贴、打包移交。其中，期转现业务办理的纸质材料整理归档工作每5笔折成1笔正常业务。③负责当年结清贷款档案整理，做好档案移交销毁准备。④涉及档案整理环节的其他内容。</w:t>
            </w:r>
          </w:p>
        </w:tc>
      </w:tr>
      <w:tr w14:paraId="12D42F9E">
        <w:tblPrEx>
          <w:tblCellMar>
            <w:top w:w="0" w:type="dxa"/>
            <w:left w:w="108" w:type="dxa"/>
            <w:bottom w:w="0" w:type="dxa"/>
            <w:right w:w="108" w:type="dxa"/>
          </w:tblCellMar>
        </w:tblPrEx>
        <w:trPr>
          <w:trHeight w:val="270" w:hRule="atLeast"/>
        </w:trPr>
        <w:tc>
          <w:tcPr>
            <w:tcW w:w="946" w:type="pct"/>
            <w:tcBorders>
              <w:top w:val="nil"/>
              <w:left w:val="single" w:color="auto" w:sz="4" w:space="0"/>
              <w:bottom w:val="single" w:color="auto" w:sz="4" w:space="0"/>
              <w:right w:val="single" w:color="auto" w:sz="4" w:space="0"/>
            </w:tcBorders>
            <w:shd w:val="clear" w:color="auto" w:fill="auto"/>
            <w:noWrap/>
            <w:vAlign w:val="center"/>
          </w:tcPr>
          <w:p w14:paraId="214F25A2">
            <w:pPr>
              <w:widowControl/>
              <w:jc w:val="center"/>
              <w:rPr>
                <w:rFonts w:ascii="宋体" w:hAnsi="宋体" w:eastAsia="宋体" w:cs="宋体"/>
                <w:szCs w:val="21"/>
              </w:rPr>
            </w:pPr>
            <w:r>
              <w:rPr>
                <w:rFonts w:hint="eastAsia" w:ascii="宋体" w:hAnsi="宋体" w:eastAsia="宋体" w:cs="宋体"/>
                <w:szCs w:val="21"/>
              </w:rPr>
              <w:t>贷后-抵押登记</w:t>
            </w:r>
          </w:p>
        </w:tc>
        <w:tc>
          <w:tcPr>
            <w:tcW w:w="4054" w:type="pct"/>
            <w:tcBorders>
              <w:top w:val="nil"/>
              <w:left w:val="single" w:color="auto" w:sz="4" w:space="0"/>
              <w:bottom w:val="single" w:color="auto" w:sz="4" w:space="0"/>
              <w:right w:val="single" w:color="auto" w:sz="4" w:space="0"/>
            </w:tcBorders>
          </w:tcPr>
          <w:p w14:paraId="339DE53D">
            <w:r>
              <w:rPr>
                <w:rFonts w:hint="eastAsia"/>
              </w:rPr>
              <w:t>个人贷款二次业务抵押登记办理，对以担保方式为抵押的个人贷款二次业务办理往返房屋管理部门的房屋抵押相关手续，将办理抵押登记的材料送交房屋管理部门、贷款结清后到房屋管理部门办理抵押登记注销，一笔个人贷款的抵押登记办理全流程工作记作1笔业务量。包括①协助抵押岗提出办理抵押申请，将材料送到房产交易中心。②负责接收抵押材料，审核抵押材料齐全性、审核贷款材料中抵押信息准确性、手工补充填写抵押信息、做抵押报表。③负责抵押信息录入房产局或不动产登记中心等政务系统。④负责抵押材料拍照上传房产局或不动产登记中心等政务系统。⑤除取件外其他涉及抵押登记环节的相关内容。</w:t>
            </w:r>
          </w:p>
        </w:tc>
      </w:tr>
    </w:tbl>
    <w:p w14:paraId="04AEC276">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楷体" w:eastAsia="彩虹楷体"/>
          <w:b/>
          <w:sz w:val="32"/>
          <w:szCs w:val="32"/>
        </w:rPr>
      </w:pPr>
      <w:r>
        <w:rPr>
          <w:rFonts w:hint="eastAsia" w:ascii="彩虹楷体" w:eastAsia="彩虹楷体"/>
          <w:b/>
          <w:sz w:val="32"/>
          <w:szCs w:val="32"/>
        </w:rPr>
        <w:t>（二）个贷业务档案整理</w:t>
      </w:r>
    </w:p>
    <w:p w14:paraId="0071EEF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eastAsia="彩虹粗仿宋"/>
          <w:sz w:val="32"/>
          <w:szCs w:val="32"/>
        </w:rPr>
      </w:pPr>
      <w:r>
        <w:rPr>
          <w:rFonts w:hint="eastAsia" w:ascii="彩虹粗仿宋" w:hAnsi="宋体" w:eastAsia="彩虹粗仿宋" w:cs="Times New Roman"/>
          <w:snapToGrid w:val="0"/>
          <w:kern w:val="0"/>
          <w:sz w:val="32"/>
          <w:szCs w:val="32"/>
        </w:rPr>
        <w:t>服务内容包含个人信贷（含个人住房贷款、个人消费贷款）档案的接收、档案的数字化加工（包含影像生成、建立影像信息的索引、质检等）、档案的规范化整理装订（包含对破损或纸张小于B5规格的资料进行托裱修复、打制卷内资料页号和件号、制作卷内目录、制作案卷封面、填制更换档案袋、档案装订等）和归档入库。</w:t>
      </w:r>
    </w:p>
    <w:tbl>
      <w:tblPr>
        <w:tblStyle w:val="5"/>
        <w:tblW w:w="5000" w:type="pct"/>
        <w:tblInd w:w="0" w:type="dxa"/>
        <w:tblLayout w:type="autofit"/>
        <w:tblCellMar>
          <w:top w:w="0" w:type="dxa"/>
          <w:left w:w="108" w:type="dxa"/>
          <w:bottom w:w="0" w:type="dxa"/>
          <w:right w:w="108" w:type="dxa"/>
        </w:tblCellMar>
      </w:tblPr>
      <w:tblGrid>
        <w:gridCol w:w="740"/>
        <w:gridCol w:w="7782"/>
      </w:tblGrid>
      <w:tr w14:paraId="0897CA1F">
        <w:tblPrEx>
          <w:tblCellMar>
            <w:top w:w="0" w:type="dxa"/>
            <w:left w:w="108" w:type="dxa"/>
            <w:bottom w:w="0" w:type="dxa"/>
            <w:right w:w="108" w:type="dxa"/>
          </w:tblCellMar>
        </w:tblPrEx>
        <w:trPr>
          <w:trHeight w:val="270" w:hRule="atLeast"/>
        </w:trPr>
        <w:tc>
          <w:tcPr>
            <w:tcW w:w="12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BB1205">
            <w:pPr>
              <w:widowControl/>
              <w:jc w:val="center"/>
              <w:rPr>
                <w:rFonts w:ascii="宋体" w:hAnsi="宋体" w:eastAsia="宋体" w:cs="宋体"/>
                <w:b/>
                <w:szCs w:val="21"/>
              </w:rPr>
            </w:pPr>
            <w:r>
              <w:rPr>
                <w:rFonts w:hint="eastAsia" w:ascii="宋体" w:hAnsi="宋体" w:eastAsia="宋体" w:cs="宋体"/>
                <w:b/>
                <w:szCs w:val="21"/>
              </w:rPr>
              <w:t>外包事项</w:t>
            </w:r>
          </w:p>
        </w:tc>
        <w:tc>
          <w:tcPr>
            <w:tcW w:w="3721" w:type="pct"/>
            <w:tcBorders>
              <w:top w:val="single" w:color="auto" w:sz="4" w:space="0"/>
              <w:left w:val="nil"/>
              <w:bottom w:val="single" w:color="auto" w:sz="4" w:space="0"/>
              <w:right w:val="single" w:color="auto" w:sz="4" w:space="0"/>
            </w:tcBorders>
            <w:shd w:val="clear" w:color="auto" w:fill="auto"/>
            <w:noWrap/>
            <w:vAlign w:val="center"/>
          </w:tcPr>
          <w:p w14:paraId="28021957">
            <w:pPr>
              <w:widowControl/>
              <w:jc w:val="center"/>
              <w:rPr>
                <w:rFonts w:ascii="宋体" w:hAnsi="宋体" w:eastAsia="宋体" w:cs="宋体"/>
                <w:b/>
                <w:szCs w:val="21"/>
                <w:highlight w:val="yellow"/>
              </w:rPr>
            </w:pPr>
            <w:r>
              <w:rPr>
                <w:rFonts w:hint="eastAsia" w:ascii="宋体" w:hAnsi="宋体" w:eastAsia="宋体" w:cs="宋体"/>
                <w:b/>
                <w:szCs w:val="21"/>
              </w:rPr>
              <w:t>工作内容</w:t>
            </w:r>
          </w:p>
        </w:tc>
      </w:tr>
      <w:tr w14:paraId="0A58CBD6">
        <w:tblPrEx>
          <w:tblCellMar>
            <w:top w:w="0" w:type="dxa"/>
            <w:left w:w="108" w:type="dxa"/>
            <w:bottom w:w="0" w:type="dxa"/>
            <w:right w:w="108" w:type="dxa"/>
          </w:tblCellMar>
        </w:tblPrEx>
        <w:trPr>
          <w:trHeight w:val="270" w:hRule="atLeast"/>
        </w:trPr>
        <w:tc>
          <w:tcPr>
            <w:tcW w:w="1279" w:type="pct"/>
            <w:tcBorders>
              <w:top w:val="nil"/>
              <w:left w:val="single" w:color="auto" w:sz="4" w:space="0"/>
              <w:bottom w:val="single" w:color="auto" w:sz="4" w:space="0"/>
              <w:right w:val="single" w:color="auto" w:sz="4" w:space="0"/>
            </w:tcBorders>
            <w:shd w:val="clear" w:color="auto" w:fill="auto"/>
            <w:noWrap/>
            <w:vAlign w:val="center"/>
          </w:tcPr>
          <w:p w14:paraId="5F27CA6F">
            <w:pPr>
              <w:widowControl/>
              <w:jc w:val="center"/>
              <w:rPr>
                <w:rFonts w:ascii="宋体" w:hAnsi="宋体" w:eastAsia="宋体" w:cs="宋体"/>
                <w:szCs w:val="21"/>
              </w:rPr>
            </w:pPr>
            <w:r>
              <w:rPr>
                <w:rFonts w:hint="eastAsia" w:ascii="宋体" w:hAnsi="宋体" w:eastAsia="宋体" w:cs="宋体"/>
                <w:szCs w:val="21"/>
              </w:rPr>
              <w:t>整理</w:t>
            </w:r>
          </w:p>
        </w:tc>
        <w:tc>
          <w:tcPr>
            <w:tcW w:w="3721" w:type="pct"/>
            <w:tcBorders>
              <w:top w:val="nil"/>
              <w:left w:val="nil"/>
              <w:bottom w:val="single" w:color="auto" w:sz="4" w:space="0"/>
              <w:right w:val="single" w:color="auto" w:sz="4" w:space="0"/>
            </w:tcBorders>
            <w:shd w:val="clear" w:color="auto" w:fill="auto"/>
            <w:noWrap/>
            <w:vAlign w:val="center"/>
          </w:tcPr>
          <w:p w14:paraId="7C788814">
            <w:pPr>
              <w:pStyle w:val="4"/>
              <w:rPr>
                <w:rFonts w:ascii="宋体" w:hAnsi="宋体" w:eastAsia="宋体" w:cs="宋体"/>
                <w:sz w:val="21"/>
                <w:szCs w:val="21"/>
                <w:highlight w:val="yellow"/>
              </w:rPr>
            </w:pPr>
            <w:r>
              <w:rPr>
                <w:rFonts w:hint="eastAsia" w:ascii="宋体" w:hAnsi="宋体" w:eastAsia="宋体" w:cs="宋体"/>
                <w:sz w:val="21"/>
                <w:szCs w:val="21"/>
              </w:rPr>
              <w:t>一笔完整的档案整理包括档案接收、拆钉整理、打制页码、制作目录、制作案卷封面、填制更换档案袋、档案装订、归档入库等环节</w:t>
            </w:r>
          </w:p>
        </w:tc>
      </w:tr>
      <w:tr w14:paraId="4ED6B380">
        <w:tblPrEx>
          <w:tblCellMar>
            <w:top w:w="0" w:type="dxa"/>
            <w:left w:w="108" w:type="dxa"/>
            <w:bottom w:w="0" w:type="dxa"/>
            <w:right w:w="108" w:type="dxa"/>
          </w:tblCellMar>
        </w:tblPrEx>
        <w:trPr>
          <w:trHeight w:val="270" w:hRule="atLeast"/>
        </w:trPr>
        <w:tc>
          <w:tcPr>
            <w:tcW w:w="1279" w:type="pct"/>
            <w:tcBorders>
              <w:top w:val="nil"/>
              <w:left w:val="single" w:color="auto" w:sz="4" w:space="0"/>
              <w:bottom w:val="single" w:color="auto" w:sz="4" w:space="0"/>
              <w:right w:val="single" w:color="auto" w:sz="4" w:space="0"/>
            </w:tcBorders>
            <w:shd w:val="clear" w:color="auto" w:fill="auto"/>
            <w:noWrap/>
            <w:vAlign w:val="center"/>
          </w:tcPr>
          <w:p w14:paraId="7537514C">
            <w:pPr>
              <w:widowControl/>
              <w:jc w:val="center"/>
              <w:rPr>
                <w:rFonts w:ascii="宋体" w:hAnsi="宋体" w:eastAsia="宋体" w:cs="宋体"/>
                <w:szCs w:val="21"/>
              </w:rPr>
            </w:pPr>
            <w:r>
              <w:rPr>
                <w:rFonts w:hint="eastAsia" w:ascii="宋体" w:hAnsi="宋体" w:eastAsia="宋体" w:cs="宋体"/>
                <w:szCs w:val="21"/>
              </w:rPr>
              <w:t>扫描</w:t>
            </w:r>
          </w:p>
        </w:tc>
        <w:tc>
          <w:tcPr>
            <w:tcW w:w="3721" w:type="pct"/>
            <w:tcBorders>
              <w:top w:val="nil"/>
              <w:left w:val="nil"/>
              <w:bottom w:val="single" w:color="auto" w:sz="4" w:space="0"/>
              <w:right w:val="single" w:color="auto" w:sz="4" w:space="0"/>
            </w:tcBorders>
            <w:shd w:val="clear" w:color="auto" w:fill="auto"/>
            <w:noWrap/>
            <w:vAlign w:val="center"/>
          </w:tcPr>
          <w:p w14:paraId="58BEDC7B">
            <w:pPr>
              <w:widowControl/>
              <w:rPr>
                <w:rFonts w:ascii="宋体" w:hAnsi="宋体" w:eastAsia="宋体" w:cs="宋体"/>
                <w:szCs w:val="21"/>
                <w:highlight w:val="yellow"/>
              </w:rPr>
            </w:pPr>
            <w:r>
              <w:rPr>
                <w:rFonts w:hint="eastAsia" w:ascii="宋体" w:hAnsi="宋体" w:eastAsia="宋体" w:cs="宋体"/>
                <w:szCs w:val="21"/>
              </w:rPr>
              <w:t>对档案进行数字化加工，每扫描生成合格的一页档案资料为一笔业务量</w:t>
            </w:r>
          </w:p>
        </w:tc>
      </w:tr>
    </w:tbl>
    <w:p w14:paraId="15DFF4F6">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楷体" w:eastAsia="彩虹楷体"/>
          <w:b/>
          <w:sz w:val="32"/>
          <w:szCs w:val="32"/>
        </w:rPr>
      </w:pPr>
      <w:r>
        <w:rPr>
          <w:rFonts w:hint="eastAsia" w:ascii="彩虹楷体" w:eastAsia="彩虹楷体"/>
          <w:b/>
          <w:sz w:val="32"/>
          <w:szCs w:val="32"/>
        </w:rPr>
        <w:t>（三）房改金融业务驻点服务</w:t>
      </w:r>
    </w:p>
    <w:p w14:paraId="551E054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eastAsia="彩虹粗仿宋"/>
          <w:sz w:val="32"/>
          <w:szCs w:val="32"/>
        </w:rPr>
      </w:pPr>
      <w:r>
        <w:rPr>
          <w:rFonts w:hint="eastAsia" w:ascii="彩虹粗仿宋" w:eastAsia="彩虹粗仿宋"/>
          <w:sz w:val="32"/>
          <w:szCs w:val="32"/>
        </w:rPr>
        <w:t>主要派驻公积金管理中心、住房维修资金管理中心等合作单位现场，为客户提供前端服务并维护我行与机构客户的合作关系</w:t>
      </w:r>
    </w:p>
    <w:tbl>
      <w:tblPr>
        <w:tblStyle w:val="5"/>
        <w:tblW w:w="9045" w:type="dxa"/>
        <w:jc w:val="center"/>
        <w:tblLayout w:type="autofit"/>
        <w:tblCellMar>
          <w:top w:w="0" w:type="dxa"/>
          <w:left w:w="108" w:type="dxa"/>
          <w:bottom w:w="0" w:type="dxa"/>
          <w:right w:w="108" w:type="dxa"/>
        </w:tblCellMar>
      </w:tblPr>
      <w:tblGrid>
        <w:gridCol w:w="2972"/>
        <w:gridCol w:w="6073"/>
      </w:tblGrid>
      <w:tr w14:paraId="4854E84A">
        <w:tblPrEx>
          <w:tblCellMar>
            <w:top w:w="0" w:type="dxa"/>
            <w:left w:w="108" w:type="dxa"/>
            <w:bottom w:w="0" w:type="dxa"/>
            <w:right w:w="108" w:type="dxa"/>
          </w:tblCellMar>
        </w:tblPrEx>
        <w:trPr>
          <w:trHeight w:val="270"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C8A">
            <w:pPr>
              <w:widowControl/>
              <w:jc w:val="center"/>
              <w:textAlignment w:val="center"/>
              <w:rPr>
                <w:rFonts w:ascii="宋体" w:hAnsi="宋体" w:eastAsia="宋体" w:cs="宋体"/>
                <w:b/>
                <w:szCs w:val="21"/>
              </w:rPr>
            </w:pPr>
            <w:r>
              <w:rPr>
                <w:rFonts w:hint="eastAsia" w:ascii="宋体" w:hAnsi="宋体" w:eastAsia="宋体" w:cs="宋体"/>
                <w:b/>
                <w:szCs w:val="21"/>
              </w:rPr>
              <w:t>外包事项</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675E">
            <w:pPr>
              <w:widowControl/>
              <w:jc w:val="center"/>
              <w:textAlignment w:val="center"/>
              <w:rPr>
                <w:rFonts w:ascii="宋体" w:hAnsi="宋体" w:eastAsia="宋体" w:cs="宋体"/>
                <w:b/>
                <w:szCs w:val="21"/>
              </w:rPr>
            </w:pPr>
            <w:r>
              <w:rPr>
                <w:rFonts w:hint="eastAsia" w:ascii="宋体" w:hAnsi="宋体" w:eastAsia="宋体" w:cs="宋体"/>
                <w:b/>
                <w:szCs w:val="21"/>
              </w:rPr>
              <w:t>工作内容</w:t>
            </w:r>
          </w:p>
        </w:tc>
      </w:tr>
      <w:tr w14:paraId="1A98F3BE">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0BFA">
            <w:pPr>
              <w:jc w:val="center"/>
              <w:rPr>
                <w:rFonts w:ascii="宋体" w:hAnsi="宋体" w:eastAsia="宋体" w:cs="宋体"/>
                <w:szCs w:val="21"/>
              </w:rPr>
            </w:pPr>
            <w:r>
              <w:rPr>
                <w:rFonts w:hint="eastAsia" w:ascii="宋体" w:hAnsi="宋体" w:eastAsia="宋体"/>
                <w:szCs w:val="21"/>
              </w:rPr>
              <w:t>公积金、房维业务政策咨询</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DF42">
            <w:pPr>
              <w:widowControl/>
              <w:jc w:val="left"/>
              <w:textAlignment w:val="center"/>
              <w:rPr>
                <w:rFonts w:ascii="宋体" w:hAnsi="宋体" w:eastAsia="宋体" w:cs="宋体"/>
                <w:szCs w:val="21"/>
              </w:rPr>
            </w:pPr>
            <w:r>
              <w:rPr>
                <w:rFonts w:hint="eastAsia" w:ascii="宋体" w:hAnsi="宋体" w:eastAsia="宋体" w:cs="宋体"/>
                <w:szCs w:val="21"/>
              </w:rPr>
              <w:t>负责住房公积金、房维资金业务咨询和办事指引,接受政策咨询、信息查询及线上业务答疑工作。</w:t>
            </w:r>
          </w:p>
        </w:tc>
      </w:tr>
      <w:tr w14:paraId="1348A642">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4976">
            <w:pPr>
              <w:jc w:val="center"/>
              <w:rPr>
                <w:rFonts w:ascii="宋体" w:hAnsi="宋体" w:eastAsia="宋体" w:cs="宋体"/>
                <w:szCs w:val="21"/>
                <w:highlight w:val="none"/>
              </w:rPr>
            </w:pPr>
            <w:r>
              <w:rPr>
                <w:rFonts w:hint="eastAsia" w:ascii="宋体" w:hAnsi="宋体" w:eastAsia="宋体"/>
                <w:szCs w:val="21"/>
                <w:highlight w:val="none"/>
              </w:rPr>
              <w:t>公积金贷款信息采集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E471">
            <w:pPr>
              <w:widowControl/>
              <w:jc w:val="left"/>
              <w:textAlignment w:val="center"/>
              <w:rPr>
                <w:rFonts w:ascii="宋体" w:hAnsi="宋体" w:eastAsia="宋体" w:cs="宋体"/>
                <w:szCs w:val="21"/>
              </w:rPr>
            </w:pPr>
            <w:r>
              <w:rPr>
                <w:rFonts w:hint="eastAsia" w:ascii="宋体" w:hAnsi="宋体" w:eastAsia="宋体" w:cs="宋体"/>
                <w:szCs w:val="21"/>
              </w:rPr>
              <w:t>负责住房公积金贷款业务中涉及的贷前申请受理、调查，包括公积金缴存情况、征信、家庭收入等情况的采集、核对、相关表单的填写、贷款人还款方案设定等。</w:t>
            </w:r>
          </w:p>
        </w:tc>
      </w:tr>
      <w:tr w14:paraId="2C2E3716">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E960">
            <w:pPr>
              <w:jc w:val="center"/>
              <w:rPr>
                <w:rFonts w:hint="eastAsia" w:ascii="宋体" w:hAnsi="宋体" w:eastAsia="宋体" w:cs="宋体"/>
                <w:szCs w:val="21"/>
                <w:highlight w:val="none"/>
                <w:lang w:eastAsia="zh-CN"/>
              </w:rPr>
            </w:pPr>
            <w:r>
              <w:rPr>
                <w:rFonts w:hint="eastAsia" w:ascii="宋体" w:hAnsi="宋体" w:eastAsia="宋体"/>
                <w:szCs w:val="21"/>
                <w:highlight w:val="none"/>
              </w:rPr>
              <w:t>公积金贷款材料整理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4496">
            <w:pPr>
              <w:widowControl/>
              <w:jc w:val="left"/>
              <w:textAlignment w:val="center"/>
              <w:rPr>
                <w:rFonts w:ascii="宋体" w:hAnsi="宋体" w:eastAsia="宋体" w:cs="宋体"/>
                <w:szCs w:val="21"/>
              </w:rPr>
            </w:pPr>
            <w:r>
              <w:rPr>
                <w:rFonts w:hint="eastAsia" w:ascii="宋体" w:hAnsi="宋体" w:eastAsia="宋体" w:cs="宋体"/>
                <w:szCs w:val="21"/>
              </w:rPr>
              <w:t>负责与贷款申请人预签借款合同及代扣协议等贷款发放回收必要签约材料，与担保公司、楼盘开发商的联系、合同签章工作、整理材料流转交接等。</w:t>
            </w:r>
          </w:p>
        </w:tc>
      </w:tr>
      <w:tr w14:paraId="2BDAE754">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E6BC">
            <w:pPr>
              <w:jc w:val="center"/>
              <w:rPr>
                <w:rFonts w:ascii="宋体" w:hAnsi="宋体" w:eastAsia="宋体" w:cs="宋体"/>
                <w:szCs w:val="21"/>
              </w:rPr>
            </w:pPr>
            <w:r>
              <w:rPr>
                <w:rFonts w:hint="eastAsia" w:ascii="宋体" w:hAnsi="宋体" w:eastAsia="宋体"/>
                <w:szCs w:val="21"/>
              </w:rPr>
              <w:t>公积金贷款信息录入</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C1B">
            <w:pPr>
              <w:widowControl/>
              <w:jc w:val="left"/>
              <w:textAlignment w:val="center"/>
              <w:rPr>
                <w:rFonts w:ascii="宋体" w:hAnsi="宋体" w:eastAsia="宋体" w:cs="宋体"/>
                <w:szCs w:val="21"/>
              </w:rPr>
            </w:pPr>
            <w:r>
              <w:rPr>
                <w:rFonts w:hint="eastAsia" w:ascii="宋体" w:hAnsi="宋体" w:eastAsia="宋体" w:cs="宋体"/>
                <w:szCs w:val="21"/>
              </w:rPr>
              <w:t>负责录入贷款申请人基本信息、贷款信息、担保信息、额度信息、调查意见及其他涉及贷款需要转化为电子信息的资料录入等。</w:t>
            </w:r>
          </w:p>
        </w:tc>
      </w:tr>
      <w:tr w14:paraId="4FF978BC">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9575">
            <w:pPr>
              <w:jc w:val="center"/>
              <w:rPr>
                <w:rFonts w:ascii="宋体" w:hAnsi="宋体" w:eastAsia="宋体" w:cs="宋体"/>
                <w:szCs w:val="21"/>
              </w:rPr>
            </w:pPr>
            <w:r>
              <w:rPr>
                <w:rFonts w:hint="eastAsia" w:ascii="宋体" w:hAnsi="宋体" w:eastAsia="宋体"/>
                <w:szCs w:val="21"/>
              </w:rPr>
              <w:t>公积金贷款合同制作</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3C99">
            <w:pPr>
              <w:widowControl/>
              <w:jc w:val="left"/>
              <w:textAlignment w:val="center"/>
              <w:rPr>
                <w:rFonts w:ascii="宋体" w:hAnsi="宋体" w:eastAsia="宋体" w:cs="宋体"/>
                <w:szCs w:val="21"/>
              </w:rPr>
            </w:pPr>
            <w:r>
              <w:rPr>
                <w:rFonts w:hint="eastAsia" w:ascii="宋体" w:hAnsi="宋体" w:eastAsia="宋体" w:cs="宋体"/>
                <w:szCs w:val="21"/>
              </w:rPr>
              <w:t>负责制作合同、填写合同格式条款、将客户提供的资料核对、分类汇总、整理、粘贴、装订等。</w:t>
            </w:r>
          </w:p>
        </w:tc>
      </w:tr>
      <w:tr w14:paraId="19EBE85F">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E063">
            <w:pPr>
              <w:jc w:val="center"/>
              <w:rPr>
                <w:rFonts w:ascii="宋体" w:hAnsi="宋体" w:eastAsia="宋体" w:cs="宋体"/>
                <w:szCs w:val="21"/>
              </w:rPr>
            </w:pPr>
            <w:r>
              <w:rPr>
                <w:rFonts w:hint="eastAsia" w:ascii="宋体" w:hAnsi="宋体" w:eastAsia="宋体"/>
                <w:szCs w:val="21"/>
              </w:rPr>
              <w:t>公积金贷款抵押办理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BB72">
            <w:pPr>
              <w:widowControl/>
              <w:jc w:val="left"/>
              <w:textAlignment w:val="center"/>
              <w:rPr>
                <w:rFonts w:ascii="宋体" w:hAnsi="宋体" w:eastAsia="宋体" w:cs="宋体"/>
                <w:szCs w:val="21"/>
              </w:rPr>
            </w:pPr>
            <w:r>
              <w:rPr>
                <w:rFonts w:hint="eastAsia" w:ascii="宋体" w:hAnsi="宋体" w:eastAsia="宋体" w:cs="宋体"/>
                <w:szCs w:val="21"/>
              </w:rPr>
              <w:t>负责整理客户提交材料、出具我行办理抵押申请、协助抵押岗将材料送到房产交易中心，扫描录入抵押信息。</w:t>
            </w:r>
          </w:p>
        </w:tc>
      </w:tr>
      <w:tr w14:paraId="1FE1CDC4">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E10F">
            <w:pPr>
              <w:jc w:val="center"/>
              <w:rPr>
                <w:rFonts w:ascii="宋体" w:hAnsi="宋体" w:eastAsia="宋体" w:cs="宋体"/>
                <w:szCs w:val="21"/>
              </w:rPr>
            </w:pPr>
            <w:r>
              <w:rPr>
                <w:rFonts w:hint="eastAsia" w:ascii="宋体" w:hAnsi="宋体" w:eastAsia="宋体"/>
                <w:szCs w:val="21"/>
              </w:rPr>
              <w:t>公积金档案整理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1A7E">
            <w:pPr>
              <w:widowControl/>
              <w:jc w:val="left"/>
              <w:textAlignment w:val="center"/>
              <w:rPr>
                <w:rFonts w:ascii="宋体" w:hAnsi="宋体" w:eastAsia="宋体" w:cs="宋体"/>
                <w:szCs w:val="21"/>
              </w:rPr>
            </w:pPr>
            <w:r>
              <w:rPr>
                <w:rFonts w:hint="eastAsia" w:ascii="宋体" w:hAnsi="宋体" w:eastAsia="宋体" w:cs="宋体"/>
                <w:szCs w:val="21"/>
              </w:rPr>
              <w:t>负责整理公积金、房维资金相关业务档案、如公积金贷款发放后整笔贷款档案以及客户提前还款、结清等二次档案等，按要求分类建立档案台账、资料整理、制作封皮、装订成册、打印清单、粘贴、打包移交、查询等。</w:t>
            </w:r>
          </w:p>
        </w:tc>
      </w:tr>
      <w:tr w14:paraId="1133AC7E">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5338">
            <w:pPr>
              <w:jc w:val="center"/>
              <w:rPr>
                <w:rFonts w:ascii="宋体" w:hAnsi="宋体" w:eastAsia="宋体" w:cs="宋体"/>
                <w:szCs w:val="21"/>
              </w:rPr>
            </w:pPr>
            <w:r>
              <w:rPr>
                <w:rFonts w:hint="eastAsia" w:ascii="宋体" w:hAnsi="宋体" w:eastAsia="宋体"/>
                <w:szCs w:val="21"/>
              </w:rPr>
              <w:t>公积金提取办理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A7B8">
            <w:pPr>
              <w:widowControl/>
              <w:jc w:val="left"/>
              <w:textAlignment w:val="center"/>
              <w:rPr>
                <w:rFonts w:ascii="宋体" w:hAnsi="宋体" w:eastAsia="宋体" w:cs="宋体"/>
                <w:szCs w:val="21"/>
              </w:rPr>
            </w:pPr>
            <w:r>
              <w:rPr>
                <w:rFonts w:hint="eastAsia" w:ascii="宋体" w:hAnsi="宋体" w:eastAsia="宋体" w:cs="宋体"/>
                <w:szCs w:val="21"/>
              </w:rPr>
              <w:t>负责提取业务涉及的基本信息调查扫描录入、查询房产和贷款真实性、核实提取用途的真实性。</w:t>
            </w:r>
          </w:p>
        </w:tc>
      </w:tr>
      <w:tr w14:paraId="31C9D88D">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E8F7">
            <w:pPr>
              <w:jc w:val="center"/>
              <w:rPr>
                <w:rFonts w:ascii="宋体" w:hAnsi="宋体" w:eastAsia="宋体" w:cs="宋体"/>
                <w:szCs w:val="21"/>
              </w:rPr>
            </w:pPr>
            <w:r>
              <w:rPr>
                <w:rFonts w:hint="eastAsia" w:ascii="宋体" w:hAnsi="宋体" w:eastAsia="宋体"/>
                <w:szCs w:val="21"/>
              </w:rPr>
              <w:t>公积金归集办理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F513">
            <w:pPr>
              <w:widowControl/>
              <w:jc w:val="left"/>
              <w:textAlignment w:val="center"/>
              <w:rPr>
                <w:rFonts w:ascii="宋体" w:hAnsi="宋体" w:eastAsia="宋体" w:cs="宋体"/>
                <w:szCs w:val="21"/>
              </w:rPr>
            </w:pPr>
            <w:r>
              <w:rPr>
                <w:rFonts w:hint="eastAsia" w:ascii="宋体" w:hAnsi="宋体" w:eastAsia="宋体" w:cs="宋体"/>
                <w:szCs w:val="21"/>
              </w:rPr>
              <w:t>负责归集业务涉及的单位材料真实性调查，扫描录入申请材料，查询单位职工异常缴存情况。</w:t>
            </w:r>
          </w:p>
        </w:tc>
      </w:tr>
      <w:tr w14:paraId="62D97998">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B0E0">
            <w:pPr>
              <w:jc w:val="center"/>
              <w:rPr>
                <w:rFonts w:ascii="宋体" w:hAnsi="宋体" w:eastAsia="宋体" w:cs="宋体"/>
                <w:szCs w:val="21"/>
              </w:rPr>
            </w:pPr>
            <w:r>
              <w:rPr>
                <w:rFonts w:hint="eastAsia" w:ascii="宋体" w:hAnsi="宋体" w:eastAsia="宋体"/>
                <w:szCs w:val="21"/>
              </w:rPr>
              <w:t>房维资金缴存办理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1E8">
            <w:pPr>
              <w:widowControl/>
              <w:jc w:val="left"/>
              <w:textAlignment w:val="center"/>
              <w:rPr>
                <w:rFonts w:ascii="宋体" w:hAnsi="宋体" w:eastAsia="宋体" w:cs="宋体"/>
                <w:szCs w:val="21"/>
              </w:rPr>
            </w:pPr>
            <w:r>
              <w:rPr>
                <w:rFonts w:hint="eastAsia" w:ascii="宋体" w:hAnsi="宋体" w:eastAsia="宋体" w:cs="宋体"/>
                <w:szCs w:val="21"/>
              </w:rPr>
              <w:t>核对缴存业务资料，核对物业位置、房屋面积、缴存标准和金额是否正确，录入系统提交后台审核，打印发票。</w:t>
            </w:r>
          </w:p>
        </w:tc>
      </w:tr>
      <w:tr w14:paraId="1470C2FD">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E18A">
            <w:pPr>
              <w:jc w:val="center"/>
              <w:rPr>
                <w:rFonts w:ascii="宋体" w:hAnsi="宋体" w:eastAsia="宋体" w:cs="宋体"/>
                <w:szCs w:val="21"/>
              </w:rPr>
            </w:pPr>
            <w:r>
              <w:rPr>
                <w:rFonts w:hint="eastAsia" w:ascii="宋体" w:hAnsi="宋体" w:eastAsia="宋体"/>
                <w:szCs w:val="21"/>
              </w:rPr>
              <w:t>房维维修项目资料采集及整理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C7DA">
            <w:pPr>
              <w:widowControl/>
              <w:jc w:val="left"/>
              <w:textAlignment w:val="center"/>
              <w:rPr>
                <w:rFonts w:ascii="宋体" w:hAnsi="宋体" w:eastAsia="宋体" w:cs="宋体"/>
                <w:szCs w:val="21"/>
              </w:rPr>
            </w:pPr>
            <w:r>
              <w:rPr>
                <w:rFonts w:hint="eastAsia" w:ascii="宋体" w:hAnsi="宋体" w:eastAsia="宋体" w:cs="宋体"/>
                <w:szCs w:val="21"/>
              </w:rPr>
              <w:t>配合房维主管部门现场勘察维修项目情况，做好记录和拍照、相关材料的整理并协助做好房维资金使用的相关流程。</w:t>
            </w:r>
          </w:p>
        </w:tc>
      </w:tr>
      <w:tr w14:paraId="6E388AD7">
        <w:tblPrEx>
          <w:tblCellMar>
            <w:top w:w="0" w:type="dxa"/>
            <w:left w:w="108" w:type="dxa"/>
            <w:bottom w:w="0" w:type="dxa"/>
            <w:right w:w="108" w:type="dxa"/>
          </w:tblCellMar>
        </w:tblPrEx>
        <w:trPr>
          <w:trHeight w:val="285" w:hRule="atLeast"/>
          <w:jc w:val="center"/>
        </w:trPr>
        <w:tc>
          <w:tcPr>
            <w:tcW w:w="2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88A6">
            <w:pPr>
              <w:jc w:val="center"/>
              <w:rPr>
                <w:rFonts w:hint="eastAsia" w:ascii="宋体" w:hAnsi="宋体" w:eastAsia="彩虹粗仿宋"/>
                <w:szCs w:val="21"/>
                <w:lang w:val="en-US" w:eastAsia="zh-CN"/>
              </w:rPr>
            </w:pPr>
            <w:r>
              <w:rPr>
                <w:rFonts w:hint="eastAsia" w:ascii="宋体" w:hAnsi="宋体" w:eastAsia="宋体"/>
                <w:szCs w:val="21"/>
              </w:rPr>
              <w:t>房维</w:t>
            </w:r>
            <w:r>
              <w:rPr>
                <w:rFonts w:hint="eastAsia" w:ascii="宋体" w:hAnsi="宋体" w:eastAsia="宋体"/>
                <w:szCs w:val="21"/>
                <w:lang w:val="en-US" w:eastAsia="zh-CN"/>
              </w:rPr>
              <w:t>资金</w:t>
            </w:r>
            <w:r>
              <w:rPr>
                <w:rFonts w:hint="eastAsia" w:ascii="宋体" w:hAnsi="宋体" w:eastAsia="宋体"/>
                <w:szCs w:val="21"/>
              </w:rPr>
              <w:t>支取</w:t>
            </w:r>
            <w:r>
              <w:rPr>
                <w:rFonts w:hint="eastAsia" w:ascii="宋体" w:hAnsi="宋体" w:eastAsia="宋体"/>
                <w:szCs w:val="21"/>
                <w:lang w:val="en-US" w:eastAsia="zh-CN"/>
              </w:rPr>
              <w:t>办理</w:t>
            </w:r>
          </w:p>
        </w:tc>
        <w:tc>
          <w:tcPr>
            <w:tcW w:w="6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49B9">
            <w:pPr>
              <w:widowControl/>
              <w:jc w:val="left"/>
              <w:textAlignment w:val="center"/>
              <w:rPr>
                <w:rFonts w:hint="eastAsia" w:ascii="宋体" w:hAnsi="宋体" w:eastAsia="宋体" w:cs="宋体"/>
                <w:szCs w:val="21"/>
              </w:rPr>
            </w:pPr>
            <w:r>
              <w:rPr>
                <w:rFonts w:hint="eastAsia" w:ascii="宋体" w:hAnsi="宋体" w:eastAsia="宋体" w:cs="宋体"/>
                <w:szCs w:val="21"/>
                <w:lang w:eastAsia="zh-CN"/>
              </w:rPr>
              <w:t>核对</w:t>
            </w:r>
            <w:r>
              <w:rPr>
                <w:rFonts w:hint="eastAsia" w:ascii="宋体" w:hAnsi="宋体" w:eastAsia="宋体" w:cs="宋体"/>
                <w:szCs w:val="21"/>
              </w:rPr>
              <w:t>直取申请材料，检查支取类型、维修项目、分摊信息是否正确，核对银行账号等收款信息，提交后台审核，打印相关票据。</w:t>
            </w:r>
          </w:p>
        </w:tc>
      </w:tr>
    </w:tbl>
    <w:p w14:paraId="65AC57E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ascii="彩虹楷体" w:eastAsia="彩虹楷体"/>
          <w:b/>
          <w:sz w:val="32"/>
          <w:szCs w:val="32"/>
        </w:rPr>
      </w:pPr>
      <w:r>
        <w:rPr>
          <w:rFonts w:hint="eastAsia" w:ascii="彩虹楷体" w:eastAsia="彩虹楷体"/>
          <w:b/>
          <w:sz w:val="32"/>
          <w:szCs w:val="32"/>
        </w:rPr>
        <w:t>（四）普惠贷款辅助管理</w:t>
      </w:r>
    </w:p>
    <w:p w14:paraId="3CAC1B3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eastAsia="彩虹粗仿宋"/>
          <w:sz w:val="32"/>
          <w:szCs w:val="32"/>
        </w:rPr>
      </w:pPr>
      <w:r>
        <w:rPr>
          <w:rFonts w:hint="eastAsia" w:ascii="彩虹粗仿宋" w:eastAsia="彩虹粗仿宋"/>
          <w:sz w:val="32"/>
          <w:szCs w:val="32"/>
        </w:rPr>
        <w:t>本次采购项目主要包括普惠贷款贷前和贷后信息采集、资料整理与录入、档案整理与保管，具体如下：</w:t>
      </w:r>
    </w:p>
    <w:tbl>
      <w:tblPr>
        <w:tblStyle w:val="5"/>
        <w:tblW w:w="0" w:type="auto"/>
        <w:jc w:val="center"/>
        <w:tblLayout w:type="autofit"/>
        <w:tblCellMar>
          <w:top w:w="0" w:type="dxa"/>
          <w:left w:w="108" w:type="dxa"/>
          <w:bottom w:w="0" w:type="dxa"/>
          <w:right w:w="108" w:type="dxa"/>
        </w:tblCellMar>
      </w:tblPr>
      <w:tblGrid>
        <w:gridCol w:w="2405"/>
        <w:gridCol w:w="5891"/>
      </w:tblGrid>
      <w:tr w14:paraId="0FD08F5F">
        <w:tblPrEx>
          <w:tblCellMar>
            <w:top w:w="0" w:type="dxa"/>
            <w:left w:w="108" w:type="dxa"/>
            <w:bottom w:w="0" w:type="dxa"/>
            <w:right w:w="108" w:type="dxa"/>
          </w:tblCellMar>
        </w:tblPrEx>
        <w:trPr>
          <w:trHeight w:val="270"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2D53">
            <w:pPr>
              <w:widowControl/>
              <w:jc w:val="center"/>
              <w:textAlignment w:val="center"/>
              <w:rPr>
                <w:rFonts w:ascii="宋体" w:hAnsi="宋体" w:eastAsia="宋体" w:cs="宋体"/>
                <w:b/>
                <w:szCs w:val="21"/>
              </w:rPr>
            </w:pPr>
            <w:r>
              <w:rPr>
                <w:rFonts w:hint="eastAsia" w:ascii="宋体" w:hAnsi="宋体" w:eastAsia="宋体" w:cs="宋体"/>
                <w:b/>
                <w:szCs w:val="21"/>
              </w:rPr>
              <w:t>外包事项</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47D0">
            <w:pPr>
              <w:widowControl/>
              <w:jc w:val="center"/>
              <w:textAlignment w:val="center"/>
              <w:rPr>
                <w:rFonts w:ascii="宋体" w:hAnsi="宋体" w:eastAsia="宋体" w:cs="宋体"/>
                <w:b/>
                <w:szCs w:val="21"/>
              </w:rPr>
            </w:pPr>
            <w:r>
              <w:rPr>
                <w:rFonts w:hint="eastAsia" w:ascii="宋体" w:hAnsi="宋体" w:eastAsia="宋体" w:cs="宋体"/>
                <w:b/>
                <w:szCs w:val="21"/>
              </w:rPr>
              <w:t>工作内容</w:t>
            </w:r>
          </w:p>
        </w:tc>
      </w:tr>
      <w:tr w14:paraId="3D5EB4F3">
        <w:tblPrEx>
          <w:tblCellMar>
            <w:top w:w="0" w:type="dxa"/>
            <w:left w:w="108" w:type="dxa"/>
            <w:bottom w:w="0" w:type="dxa"/>
            <w:right w:w="108" w:type="dxa"/>
          </w:tblCellMar>
        </w:tblPrEx>
        <w:trPr>
          <w:trHeight w:val="28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tcPr>
          <w:p w14:paraId="76603343">
            <w:pPr>
              <w:jc w:val="left"/>
            </w:pPr>
            <w:r>
              <w:rPr>
                <w:rFonts w:hint="eastAsia"/>
              </w:rPr>
              <w:t>普惠</w:t>
            </w:r>
            <w:r>
              <w:t>-贷前信息采集</w:t>
            </w:r>
          </w:p>
        </w:tc>
        <w:tc>
          <w:tcPr>
            <w:tcW w:w="5891" w:type="dxa"/>
            <w:vMerge w:val="restart"/>
            <w:tcBorders>
              <w:top w:val="single" w:color="000000" w:sz="4" w:space="0"/>
              <w:left w:val="single" w:color="000000" w:sz="4" w:space="0"/>
              <w:right w:val="single" w:color="000000" w:sz="4" w:space="0"/>
            </w:tcBorders>
            <w:shd w:val="clear" w:color="auto" w:fill="auto"/>
            <w:noWrap/>
            <w:vAlign w:val="center"/>
          </w:tcPr>
          <w:p w14:paraId="66E45441">
            <w:pPr>
              <w:widowControl/>
              <w:jc w:val="left"/>
              <w:textAlignment w:val="center"/>
              <w:rPr>
                <w:rFonts w:ascii="宋体" w:hAnsi="宋体" w:eastAsia="宋体" w:cs="宋体"/>
                <w:szCs w:val="21"/>
              </w:rPr>
            </w:pPr>
            <w:r>
              <w:rPr>
                <w:rFonts w:hint="eastAsia" w:ascii="宋体" w:hAnsi="宋体" w:eastAsia="宋体" w:cs="宋体"/>
                <w:szCs w:val="21"/>
              </w:rPr>
              <w:t>对业务档案影像资料、存量信贷客户日常生产经营情况进行信息采集。</w:t>
            </w:r>
          </w:p>
        </w:tc>
      </w:tr>
      <w:tr w14:paraId="1C4E51E3">
        <w:tblPrEx>
          <w:tblCellMar>
            <w:top w:w="0" w:type="dxa"/>
            <w:left w:w="108" w:type="dxa"/>
            <w:bottom w:w="0" w:type="dxa"/>
            <w:right w:w="108" w:type="dxa"/>
          </w:tblCellMar>
        </w:tblPrEx>
        <w:trPr>
          <w:trHeight w:val="28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tcPr>
          <w:p w14:paraId="351F5825">
            <w:pPr>
              <w:jc w:val="left"/>
            </w:pPr>
            <w:r>
              <w:rPr>
                <w:rFonts w:hint="eastAsia"/>
              </w:rPr>
              <w:t>普惠</w:t>
            </w:r>
            <w:r>
              <w:t>-贷后信息采集</w:t>
            </w:r>
          </w:p>
        </w:tc>
        <w:tc>
          <w:tcPr>
            <w:tcW w:w="5891" w:type="dxa"/>
            <w:vMerge w:val="continue"/>
            <w:tcBorders>
              <w:left w:val="single" w:color="000000" w:sz="4" w:space="0"/>
              <w:bottom w:val="single" w:color="000000" w:sz="4" w:space="0"/>
              <w:right w:val="single" w:color="000000" w:sz="4" w:space="0"/>
            </w:tcBorders>
            <w:shd w:val="clear" w:color="auto" w:fill="auto"/>
            <w:noWrap/>
            <w:vAlign w:val="center"/>
          </w:tcPr>
          <w:p w14:paraId="736A62ED">
            <w:pPr>
              <w:widowControl/>
              <w:jc w:val="left"/>
              <w:textAlignment w:val="center"/>
              <w:rPr>
                <w:rFonts w:ascii="宋体" w:hAnsi="宋体" w:eastAsia="宋体" w:cs="宋体"/>
                <w:szCs w:val="21"/>
              </w:rPr>
            </w:pPr>
          </w:p>
        </w:tc>
      </w:tr>
      <w:tr w14:paraId="3E9E0D74">
        <w:tblPrEx>
          <w:tblCellMar>
            <w:top w:w="0" w:type="dxa"/>
            <w:left w:w="108" w:type="dxa"/>
            <w:bottom w:w="0" w:type="dxa"/>
            <w:right w:w="108" w:type="dxa"/>
          </w:tblCellMar>
        </w:tblPrEx>
        <w:trPr>
          <w:trHeight w:val="90"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tcPr>
          <w:p w14:paraId="5C8F386B">
            <w:pPr>
              <w:jc w:val="left"/>
            </w:pPr>
            <w:r>
              <w:rPr>
                <w:rFonts w:hint="eastAsia"/>
              </w:rPr>
              <w:t>普惠</w:t>
            </w:r>
            <w:r>
              <w:t>-资料整理与录入</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BBC6">
            <w:pPr>
              <w:widowControl/>
              <w:jc w:val="left"/>
              <w:textAlignment w:val="center"/>
              <w:rPr>
                <w:rFonts w:ascii="宋体" w:hAnsi="宋体" w:eastAsia="宋体" w:cs="宋体"/>
                <w:szCs w:val="21"/>
              </w:rPr>
            </w:pPr>
            <w:r>
              <w:rPr>
                <w:rFonts w:hint="eastAsia" w:ascii="宋体" w:hAnsi="宋体" w:eastAsia="宋体" w:cs="宋体"/>
                <w:szCs w:val="21"/>
              </w:rPr>
              <w:t>对业务资料进行整理，对业务信息进行录入、核对、维护查询、更新、数据清理、台账登记以及在相应系统中录入相关抵押物信息等。</w:t>
            </w:r>
          </w:p>
        </w:tc>
      </w:tr>
      <w:tr w14:paraId="7CD7A7AB">
        <w:tblPrEx>
          <w:tblCellMar>
            <w:top w:w="0" w:type="dxa"/>
            <w:left w:w="108" w:type="dxa"/>
            <w:bottom w:w="0" w:type="dxa"/>
            <w:right w:w="108" w:type="dxa"/>
          </w:tblCellMar>
        </w:tblPrEx>
        <w:trPr>
          <w:trHeight w:val="28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auto"/>
            <w:noWrap/>
          </w:tcPr>
          <w:p w14:paraId="460FA09F">
            <w:pPr>
              <w:jc w:val="left"/>
            </w:pPr>
            <w:r>
              <w:rPr>
                <w:rFonts w:hint="eastAsia"/>
              </w:rPr>
              <w:t>普惠</w:t>
            </w:r>
            <w:r>
              <w:t>-档案整理与保管</w:t>
            </w:r>
          </w:p>
        </w:tc>
        <w:tc>
          <w:tcPr>
            <w:tcW w:w="5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89299">
            <w:pPr>
              <w:widowControl/>
              <w:jc w:val="left"/>
              <w:textAlignment w:val="center"/>
              <w:rPr>
                <w:rFonts w:ascii="宋体" w:hAnsi="宋体" w:eastAsia="宋体" w:cs="宋体"/>
                <w:szCs w:val="21"/>
              </w:rPr>
            </w:pPr>
            <w:r>
              <w:rPr>
                <w:rFonts w:hint="eastAsia" w:ascii="宋体" w:hAnsi="宋体" w:eastAsia="宋体" w:cs="宋体"/>
                <w:szCs w:val="21"/>
              </w:rPr>
              <w:t>对普惠业务档案资料电子化扫描及档案整理；对贷后检查资料逐户整理，形成电子检查台账及每户贷后检查资料等。</w:t>
            </w:r>
          </w:p>
        </w:tc>
      </w:tr>
    </w:tbl>
    <w:p w14:paraId="1111600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黑体" w:hAnsi="彩虹黑体" w:eastAsia="彩虹黑体" w:cs="彩虹黑体"/>
          <w:b w:val="0"/>
          <w:bCs/>
          <w:snapToGrid w:val="0"/>
          <w:kern w:val="0"/>
          <w:sz w:val="32"/>
          <w:szCs w:val="32"/>
          <w:highlight w:val="none"/>
        </w:rPr>
      </w:pPr>
      <w:r>
        <w:rPr>
          <w:rFonts w:hint="eastAsia" w:ascii="彩虹黑体" w:hAnsi="彩虹黑体" w:eastAsia="彩虹黑体" w:cs="彩虹黑体"/>
          <w:b w:val="0"/>
          <w:bCs/>
          <w:snapToGrid w:val="0"/>
          <w:kern w:val="0"/>
          <w:sz w:val="32"/>
          <w:szCs w:val="32"/>
          <w:highlight w:val="none"/>
        </w:rPr>
        <w:t>二、供应商资质要求</w:t>
      </w:r>
    </w:p>
    <w:p w14:paraId="3BF33B5A">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ascii="彩虹粗仿宋" w:hAnsi="宋体" w:eastAsia="彩虹粗仿宋" w:cs="Times New Roman"/>
          <w:snapToGrid w:val="0"/>
          <w:kern w:val="0"/>
          <w:sz w:val="32"/>
          <w:szCs w:val="32"/>
          <w:lang w:val="en-US" w:eastAsia="zh-CN"/>
        </w:rPr>
        <w:t>.</w:t>
      </w:r>
      <w:r>
        <w:rPr>
          <w:rFonts w:hint="eastAsia" w:ascii="彩虹粗仿宋" w:hAnsi="宋体" w:eastAsia="彩虹粗仿宋" w:cs="Times New Roman"/>
          <w:snapToGrid w:val="0"/>
          <w:kern w:val="0"/>
          <w:sz w:val="32"/>
          <w:szCs w:val="32"/>
        </w:rPr>
        <w:t>在中华人民共和国境内合法注册的独立法人或其他组织，具有独立承担民事责任和履行合同能力，具有相应的经营范围和固定的办公场所</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遵守国家有关法律、法规，具有良好的商业信誉。</w:t>
      </w:r>
    </w:p>
    <w:p w14:paraId="16B0EEB3">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2.提供</w:t>
      </w:r>
      <w:r>
        <w:rPr>
          <w:rFonts w:hint="eastAsia" w:ascii="彩虹粗仿宋" w:hAnsi="宋体" w:eastAsia="彩虹粗仿宋" w:cs="Times New Roman"/>
          <w:snapToGrid w:val="0"/>
          <w:kern w:val="0"/>
          <w:sz w:val="32"/>
          <w:szCs w:val="32"/>
        </w:rPr>
        <w:t>自2023年1月1日以来承接过同类外包服务项目（以合同签订日期为准，提供合同扫描件）</w:t>
      </w:r>
      <w:r>
        <w:rPr>
          <w:rFonts w:hint="eastAsia" w:ascii="彩虹粗仿宋" w:hAnsi="宋体" w:eastAsia="彩虹粗仿宋" w:cs="Times New Roman"/>
          <w:snapToGrid w:val="0"/>
          <w:kern w:val="0"/>
          <w:sz w:val="32"/>
          <w:szCs w:val="32"/>
          <w:lang w:eastAsia="zh-CN"/>
        </w:rPr>
        <w:t>。</w:t>
      </w:r>
    </w:p>
    <w:p w14:paraId="5D256ACC">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近三年内，在经营活动中没有违法和重大不良记录；当前未处于限制开展生产经营活动、责令停产停业、责令关闭、限制从业等行政处罚期内。</w:t>
      </w:r>
    </w:p>
    <w:p w14:paraId="303AE073">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近三年内，未被监管机构通报或被其他同业禁入、未出现重大消费者侵权行为（提供承诺书，格式自拟）</w:t>
      </w:r>
      <w:r>
        <w:rPr>
          <w:rFonts w:hint="eastAsia" w:ascii="彩虹粗仿宋" w:hAnsi="宋体" w:eastAsia="彩虹粗仿宋" w:cs="Times New Roman"/>
          <w:snapToGrid w:val="0"/>
          <w:kern w:val="0"/>
          <w:sz w:val="32"/>
          <w:szCs w:val="32"/>
          <w:lang w:eastAsia="zh-CN"/>
        </w:rPr>
        <w:t>。</w:t>
      </w:r>
    </w:p>
    <w:p w14:paraId="2E5EAF9E">
      <w:pPr>
        <w:keepNext w:val="0"/>
        <w:keepLines w:val="0"/>
        <w:pageBreakBefore w:val="0"/>
        <w:widowControl w:val="0"/>
        <w:kinsoku/>
        <w:wordWrap/>
        <w:overflowPunct/>
        <w:topLinePunct w:val="0"/>
        <w:autoSpaceDE/>
        <w:autoSpaceDN/>
        <w:bidi w:val="0"/>
        <w:spacing w:line="587" w:lineRule="exact"/>
        <w:ind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在资格审查时未处于建设银行系统内供应商禁用或退出期内。</w:t>
      </w:r>
    </w:p>
    <w:p w14:paraId="65C1CFE1">
      <w:pPr>
        <w:keepNext w:val="0"/>
        <w:keepLines w:val="0"/>
        <w:pageBreakBefore w:val="0"/>
        <w:widowControl w:val="0"/>
        <w:kinsoku/>
        <w:wordWrap/>
        <w:overflowPunct/>
        <w:topLinePunct w:val="0"/>
        <w:autoSpaceDE/>
        <w:autoSpaceDN/>
        <w:bidi w:val="0"/>
        <w:spacing w:line="587" w:lineRule="exact"/>
        <w:ind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6.提供</w:t>
      </w:r>
      <w:r>
        <w:rPr>
          <w:rFonts w:hint="eastAsia" w:ascii="彩虹粗仿宋" w:hAnsi="宋体" w:eastAsia="彩虹粗仿宋" w:cs="Times New Roman"/>
          <w:snapToGrid w:val="0"/>
          <w:kern w:val="0"/>
          <w:sz w:val="32"/>
          <w:szCs w:val="32"/>
        </w:rPr>
        <w:t>营业执照（经营范围包含外包服务内容）或《人力资源服务许可证》或《劳务派遣经营许可证》。</w:t>
      </w:r>
      <w:bookmarkStart w:id="0" w:name="_GoBack"/>
      <w:bookmarkEnd w:id="0"/>
    </w:p>
    <w:p w14:paraId="70926BC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color w:val="FF0000"/>
          <w:kern w:val="0"/>
          <w:sz w:val="32"/>
          <w:szCs w:val="32"/>
        </w:rPr>
      </w:pPr>
      <w:r>
        <w:rPr>
          <w:rFonts w:hint="eastAsia" w:ascii="彩虹黑体" w:hAnsi="彩虹黑体" w:eastAsia="彩虹黑体" w:cs="彩虹黑体"/>
          <w:b w:val="0"/>
          <w:bCs/>
          <w:snapToGrid w:val="0"/>
          <w:kern w:val="0"/>
          <w:sz w:val="32"/>
          <w:szCs w:val="32"/>
        </w:rPr>
        <w:t>三、服务质量要求</w:t>
      </w:r>
    </w:p>
    <w:p w14:paraId="12772E5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（一）项目管理</w:t>
      </w:r>
    </w:p>
    <w:p w14:paraId="51227DC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1.投标人应承诺按照合同约定的服务内容向我行提供合格的服务，不得开展超出规定内容的工作，应配合执行我行相关要求并服从我行业务安排与管理，接受我行对其工作的指导和监督。 </w:t>
      </w:r>
    </w:p>
    <w:p w14:paraId="77D0172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2.投标人不得以我行名义进行用工管理或开展经营活动；投标人应配合接受银行业监督管理机构的检查，负责制定与受托业务相关的内控制度、人员考核管理制度等，并报我行备案。  </w:t>
      </w:r>
    </w:p>
    <w:p w14:paraId="52725502">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3.投标人应当按照我行要求指派能充分胜任工作的外包服务人员，严格按照《中华人民共和国劳动法》和《中华人民共和国劳动合同法》等相关规定与外包服务人员签订劳动合同，承诺做到合法合规用工，应按时为外包服务人员缴纳社保和发放工资，并负责劳动用工以及涉及劳动关系管理的所有事宜。</w:t>
      </w:r>
    </w:p>
    <w:p w14:paraId="244FCBF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4.投标人应组建项目管理团队及服务团队。</w:t>
      </w:r>
    </w:p>
    <w:p w14:paraId="046FFE79">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项目管理团队应具备相应管理经验，负责对外包服务人员进行管理、考核，开展服务巡检、按月编写报送项目运营报告、与相应驻场机构负责人沟通、外包服务人员日常管理、投诉与应急突发或特殊情况的处理等事项，定期与区分行、驻场机构沟通外包服务情况。</w:t>
      </w:r>
    </w:p>
    <w:p w14:paraId="1C76ABCA">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（2）服务团队要求</w:t>
      </w:r>
    </w:p>
    <w:p w14:paraId="19A9948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派驻外包服务人员应具备一定的电脑知识，具备对信息熟练录入的工作技能；现场管理人员应有相应的管理经验，具备优良的现场管理、现场控制及组织能力具备因月末或季末业务量增加临时性调配人员的能力。</w:t>
      </w:r>
    </w:p>
    <w:p w14:paraId="2280F26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5.投标人需按我行要求为外包服务人员统一提供工作服,但不得与我行在职员工的工作服雷同。为外包服务人员制作工作牌，并标明机构名称和人员姓名。 </w:t>
      </w:r>
    </w:p>
    <w:p w14:paraId="407D3CA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6.投标人、外包服务人员引起我行及客户信息安全或权利受到影响时，或在履行外包服务合同期间违约或侵犯第三方合法权益时，我行有权随时终止外包合同。 </w:t>
      </w:r>
    </w:p>
    <w:p w14:paraId="1522EEDD">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7.合同或协议变更或终止时，投标人应配合我行做好人员及业务过渡安排。 </w:t>
      </w:r>
    </w:p>
    <w:p w14:paraId="5CE0EA22">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w:t>
      </w:r>
      <w:r>
        <w:rPr>
          <w:rFonts w:hint="eastAsia" w:ascii="彩虹楷体" w:hAnsi="彩虹楷体" w:eastAsia="彩虹楷体" w:cs="彩虹楷体"/>
          <w:b/>
          <w:bCs/>
          <w:snapToGrid w:val="0"/>
          <w:color w:val="000000" w:themeColor="text1"/>
          <w:kern w:val="0"/>
          <w:sz w:val="32"/>
          <w:szCs w:val="32"/>
          <w:highlight w:val="none"/>
          <w:lang w:val="en-US" w:eastAsia="zh-CN"/>
          <w14:textFill>
            <w14:solidFill>
              <w14:schemeClr w14:val="tx1"/>
            </w14:solidFill>
          </w14:textFill>
        </w:rPr>
        <w:t>二</w:t>
      </w: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）服务质量管理</w:t>
      </w:r>
    </w:p>
    <w:p w14:paraId="48B384F3">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t>1.</w:t>
      </w: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投标人应能按照我行的规定和流程完成相关外包工作并承担相应风险和责任，严格按照我行对服务和管理人员的要求进行团队组建和开展作业。</w:t>
      </w:r>
    </w:p>
    <w:p w14:paraId="30D1E9D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t>2.</w:t>
      </w: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要按我行对时间的要求保质保量完成所有外包事项。整体字段的录入出错率控制在0.01%以内，信息采集次序规范性差错率0.1%的要求。对涉及我行关键权益的字段，应保证纸制材料和电子材料完全一致，差错率容忍度为0。录入的关键权益字段包括：借款人姓名、证件号码、贷款金额、年限、借款人联系电话号码、抵押物地址等。</w:t>
      </w:r>
    </w:p>
    <w:p w14:paraId="50709869">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w:t>
      </w:r>
      <w:r>
        <w:rPr>
          <w:rFonts w:hint="eastAsia" w:ascii="彩虹粗仿宋" w:hAnsi="宋体" w:eastAsia="彩虹粗仿宋" w:cs="Times New Roman"/>
          <w:snapToGrid w:val="0"/>
          <w:kern w:val="0"/>
          <w:sz w:val="32"/>
          <w:szCs w:val="32"/>
          <w:lang w:val="en-US" w:eastAsia="zh-CN"/>
        </w:rPr>
        <w:t>.</w:t>
      </w: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w:t>
      </w:r>
      <w:r>
        <w:rPr>
          <w:rFonts w:hint="eastAsia"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t>要</w:t>
      </w:r>
      <w:r>
        <w:rPr>
          <w:rFonts w:hint="eastAsia" w:ascii="彩虹粗仿宋" w:hAnsi="宋体" w:eastAsia="彩虹粗仿宋" w:cs="Times New Roman"/>
          <w:snapToGrid w:val="0"/>
          <w:kern w:val="0"/>
          <w:sz w:val="32"/>
          <w:szCs w:val="32"/>
        </w:rPr>
        <w:t>按我行要求提供完成</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个贷业务档案整理</w:t>
      </w:r>
      <w:r>
        <w:rPr>
          <w:rFonts w:hint="eastAsia" w:ascii="彩虹粗仿宋" w:hAnsi="宋体" w:eastAsia="彩虹粗仿宋" w:cs="Times New Roman"/>
          <w:snapToGrid w:val="0"/>
          <w:kern w:val="0"/>
          <w:sz w:val="32"/>
          <w:szCs w:val="32"/>
          <w:lang w:eastAsia="zh-CN"/>
        </w:rPr>
        <w:t>”</w:t>
      </w:r>
      <w:r>
        <w:rPr>
          <w:rFonts w:hint="eastAsia" w:ascii="彩虹粗仿宋" w:hAnsi="宋体" w:eastAsia="彩虹粗仿宋" w:cs="Times New Roman"/>
          <w:snapToGrid w:val="0"/>
          <w:kern w:val="0"/>
          <w:sz w:val="32"/>
          <w:szCs w:val="32"/>
        </w:rPr>
        <w:t>项目服务所需的加工场内各类材料（包括但不限于纸张、夹子、胶水、白乳胶、文具等装订、修补材料和工具以及其它损耗材料），各种硬件设备包括但不限于电脑设备、双面高速扫描仪、平板扫描仪、打印机设备等。供应商提供服务的外包人员数量、材料、设备和质量应满足我行对工作质量和时效性的要求，即能满足约170份档案整理日产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693"/>
        <w:gridCol w:w="1418"/>
        <w:gridCol w:w="3027"/>
      </w:tblGrid>
      <w:tr w14:paraId="7DA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44A7D036">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编号</w:t>
            </w:r>
          </w:p>
        </w:tc>
        <w:tc>
          <w:tcPr>
            <w:tcW w:w="2693" w:type="dxa"/>
          </w:tcPr>
          <w:p w14:paraId="423A5CCF">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设备名称</w:t>
            </w:r>
          </w:p>
        </w:tc>
        <w:tc>
          <w:tcPr>
            <w:tcW w:w="1418" w:type="dxa"/>
          </w:tcPr>
          <w:p w14:paraId="6ECED309">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计划数量</w:t>
            </w:r>
          </w:p>
        </w:tc>
        <w:tc>
          <w:tcPr>
            <w:tcW w:w="3027" w:type="dxa"/>
          </w:tcPr>
          <w:p w14:paraId="389B4261">
            <w:pP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项目需要处理的日产量</w:t>
            </w:r>
          </w:p>
        </w:tc>
      </w:tr>
      <w:tr w14:paraId="32A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437CFACA">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1</w:t>
            </w:r>
          </w:p>
        </w:tc>
        <w:tc>
          <w:tcPr>
            <w:tcW w:w="2693" w:type="dxa"/>
          </w:tcPr>
          <w:p w14:paraId="19903618">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高速、双面扫描仪</w:t>
            </w:r>
          </w:p>
        </w:tc>
        <w:tc>
          <w:tcPr>
            <w:tcW w:w="1418" w:type="dxa"/>
          </w:tcPr>
          <w:p w14:paraId="331DEF98">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2</w:t>
            </w:r>
          </w:p>
        </w:tc>
        <w:tc>
          <w:tcPr>
            <w:tcW w:w="3027" w:type="dxa"/>
            <w:vMerge w:val="restart"/>
          </w:tcPr>
          <w:p w14:paraId="2FD6705B">
            <w:pPr>
              <w:jc w:val="left"/>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房金条线要求：170份档案/天。</w:t>
            </w:r>
          </w:p>
        </w:tc>
      </w:tr>
      <w:tr w14:paraId="219E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275E478">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2</w:t>
            </w:r>
          </w:p>
        </w:tc>
        <w:tc>
          <w:tcPr>
            <w:tcW w:w="2693" w:type="dxa"/>
          </w:tcPr>
          <w:p w14:paraId="3E40DB18">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平面扫描仪</w:t>
            </w:r>
          </w:p>
        </w:tc>
        <w:tc>
          <w:tcPr>
            <w:tcW w:w="1418" w:type="dxa"/>
          </w:tcPr>
          <w:p w14:paraId="2C248678">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2</w:t>
            </w:r>
          </w:p>
        </w:tc>
        <w:tc>
          <w:tcPr>
            <w:tcW w:w="3027" w:type="dxa"/>
            <w:vMerge w:val="continue"/>
          </w:tcPr>
          <w:p w14:paraId="4DBEB15A">
            <w:pPr>
              <w:rPr>
                <w:rFonts w:cs="Times New Roman" w:asciiTheme="minorEastAsia" w:hAnsiTheme="minorEastAsia"/>
                <w:snapToGrid w:val="0"/>
                <w:kern w:val="0"/>
                <w:sz w:val="24"/>
                <w:szCs w:val="32"/>
              </w:rPr>
            </w:pPr>
          </w:p>
        </w:tc>
      </w:tr>
      <w:tr w14:paraId="75D9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3CA22E8C">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3</w:t>
            </w:r>
          </w:p>
        </w:tc>
        <w:tc>
          <w:tcPr>
            <w:tcW w:w="2693" w:type="dxa"/>
          </w:tcPr>
          <w:p w14:paraId="3C53FEAE">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PC机</w:t>
            </w:r>
          </w:p>
        </w:tc>
        <w:tc>
          <w:tcPr>
            <w:tcW w:w="1418" w:type="dxa"/>
          </w:tcPr>
          <w:p w14:paraId="35BB49C0">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6</w:t>
            </w:r>
          </w:p>
        </w:tc>
        <w:tc>
          <w:tcPr>
            <w:tcW w:w="3027" w:type="dxa"/>
            <w:vMerge w:val="continue"/>
          </w:tcPr>
          <w:p w14:paraId="49A6120B">
            <w:pPr>
              <w:rPr>
                <w:rFonts w:cs="Times New Roman" w:asciiTheme="minorEastAsia" w:hAnsiTheme="minorEastAsia"/>
                <w:snapToGrid w:val="0"/>
                <w:kern w:val="0"/>
                <w:sz w:val="24"/>
                <w:szCs w:val="32"/>
              </w:rPr>
            </w:pPr>
          </w:p>
        </w:tc>
      </w:tr>
      <w:tr w14:paraId="3687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14:paraId="00F481C4">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4</w:t>
            </w:r>
          </w:p>
        </w:tc>
        <w:tc>
          <w:tcPr>
            <w:tcW w:w="2693" w:type="dxa"/>
          </w:tcPr>
          <w:p w14:paraId="7C85220F">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打印机（激光、黑白）</w:t>
            </w:r>
          </w:p>
        </w:tc>
        <w:tc>
          <w:tcPr>
            <w:tcW w:w="1418" w:type="dxa"/>
          </w:tcPr>
          <w:p w14:paraId="3D7A5C7A">
            <w:pPr>
              <w:jc w:val="center"/>
              <w:rPr>
                <w:rFonts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2</w:t>
            </w:r>
          </w:p>
        </w:tc>
        <w:tc>
          <w:tcPr>
            <w:tcW w:w="3027" w:type="dxa"/>
            <w:vMerge w:val="continue"/>
          </w:tcPr>
          <w:p w14:paraId="00854F41">
            <w:pPr>
              <w:rPr>
                <w:rFonts w:cs="Times New Roman" w:asciiTheme="minorEastAsia" w:hAnsiTheme="minorEastAsia"/>
                <w:snapToGrid w:val="0"/>
                <w:kern w:val="0"/>
                <w:sz w:val="24"/>
                <w:szCs w:val="32"/>
              </w:rPr>
            </w:pPr>
          </w:p>
        </w:tc>
      </w:tr>
    </w:tbl>
    <w:p w14:paraId="00C7545D">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w:t>
      </w:r>
      <w:r>
        <w:rPr>
          <w:rFonts w:hint="eastAsia" w:ascii="彩虹粗仿宋" w:hAnsi="宋体" w:eastAsia="彩虹粗仿宋" w:cs="Times New Roman"/>
          <w:snapToGrid w:val="0"/>
          <w:kern w:val="0"/>
          <w:sz w:val="32"/>
          <w:szCs w:val="32"/>
          <w:lang w:val="en-US" w:eastAsia="zh-CN"/>
        </w:rPr>
        <w:t>.</w:t>
      </w:r>
      <w:r>
        <w:rPr>
          <w:rFonts w:ascii="彩虹粗仿宋" w:hAnsi="宋体" w:eastAsia="彩虹粗仿宋" w:cs="Times New Roman"/>
          <w:snapToGrid w:val="0"/>
          <w:kern w:val="0"/>
          <w:sz w:val="32"/>
          <w:szCs w:val="32"/>
        </w:rPr>
        <w:t>服务期内</w:t>
      </w:r>
      <w:r>
        <w:rPr>
          <w:rFonts w:hint="eastAsia" w:ascii="彩虹粗仿宋" w:hAnsi="宋体" w:eastAsia="彩虹粗仿宋" w:cs="Times New Roman"/>
          <w:snapToGrid w:val="0"/>
          <w:kern w:val="0"/>
          <w:sz w:val="32"/>
          <w:szCs w:val="32"/>
          <w:lang w:val="en-US" w:eastAsia="zh-CN"/>
        </w:rPr>
        <w:t>投标人</w:t>
      </w:r>
      <w:r>
        <w:rPr>
          <w:rFonts w:ascii="彩虹粗仿宋" w:hAnsi="宋体" w:eastAsia="彩虹粗仿宋" w:cs="Times New Roman"/>
          <w:snapToGrid w:val="0"/>
          <w:kern w:val="0"/>
          <w:sz w:val="32"/>
          <w:szCs w:val="32"/>
        </w:rPr>
        <w:t>有权利和义务对所提供的服务人员数量、材料数量、设备数量、工作量标准及工作流程按照</w:t>
      </w:r>
      <w:r>
        <w:rPr>
          <w:rFonts w:hint="eastAsia" w:ascii="彩虹粗仿宋" w:hAnsi="宋体" w:eastAsia="彩虹粗仿宋" w:cs="Times New Roman"/>
          <w:snapToGrid w:val="0"/>
          <w:kern w:val="0"/>
          <w:sz w:val="32"/>
          <w:szCs w:val="32"/>
        </w:rPr>
        <w:t>我行</w:t>
      </w:r>
      <w:r>
        <w:rPr>
          <w:rFonts w:ascii="彩虹粗仿宋" w:hAnsi="宋体" w:eastAsia="彩虹粗仿宋" w:cs="Times New Roman"/>
          <w:snapToGrid w:val="0"/>
          <w:kern w:val="0"/>
          <w:sz w:val="32"/>
          <w:szCs w:val="32"/>
        </w:rPr>
        <w:t>业务处理的要求进行合理地调整，以达到服务的优化。</w:t>
      </w:r>
      <w:r>
        <w:rPr>
          <w:rFonts w:hint="eastAsia" w:ascii="彩虹粗仿宋" w:hAnsi="宋体" w:eastAsia="彩虹粗仿宋" w:cs="Times New Roman"/>
          <w:snapToGrid w:val="0"/>
          <w:kern w:val="0"/>
          <w:sz w:val="32"/>
          <w:szCs w:val="32"/>
        </w:rPr>
        <w:t>供应商</w:t>
      </w:r>
      <w:r>
        <w:rPr>
          <w:rFonts w:ascii="彩虹粗仿宋" w:hAnsi="宋体" w:eastAsia="彩虹粗仿宋" w:cs="Times New Roman"/>
          <w:snapToGrid w:val="0"/>
          <w:kern w:val="0"/>
          <w:sz w:val="32"/>
          <w:szCs w:val="32"/>
        </w:rPr>
        <w:t>对个贷档案扫描服务的加工质量应当严格执行双方协商的标准，将差错率控制在约定标准范围</w:t>
      </w:r>
      <w:r>
        <w:rPr>
          <w:rFonts w:hint="eastAsia" w:ascii="彩虹粗仿宋" w:hAnsi="宋体" w:eastAsia="彩虹粗仿宋" w:cs="Times New Roman"/>
          <w:snapToGrid w:val="0"/>
          <w:kern w:val="0"/>
          <w:sz w:val="32"/>
          <w:szCs w:val="32"/>
        </w:rPr>
        <w:t>。供应商在服务过程中出现约定范围的赔偿条件时，我行按照约定扣减服务费。</w:t>
      </w:r>
    </w:p>
    <w:p w14:paraId="074DE9B4">
      <w:pPr>
        <w:tabs>
          <w:tab w:val="left" w:pos="755"/>
        </w:tabs>
        <w:spacing w:line="560" w:lineRule="exact"/>
        <w:ind w:firstLine="640" w:firstLineChars="200"/>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5.投标人</w:t>
      </w:r>
      <w:r>
        <w:rPr>
          <w:rFonts w:hint="eastAsia" w:ascii="彩虹粗仿宋" w:hAnsi="仿宋" w:eastAsia="彩虹粗仿宋"/>
          <w:bCs/>
          <w:sz w:val="32"/>
          <w:szCs w:val="32"/>
          <w:lang w:eastAsia="zh-CN"/>
        </w:rPr>
        <w:t>服务须满足我行及公积金中心、住房维修中心等</w:t>
      </w:r>
      <w:r>
        <w:rPr>
          <w:rFonts w:hint="eastAsia" w:ascii="彩虹粗仿宋" w:hAnsi="仿宋" w:eastAsia="彩虹粗仿宋"/>
          <w:bCs/>
          <w:sz w:val="32"/>
          <w:szCs w:val="32"/>
        </w:rPr>
        <w:t>服务对象（</w:t>
      </w:r>
      <w:r>
        <w:rPr>
          <w:rFonts w:hint="eastAsia" w:ascii="彩虹粗仿宋" w:hAnsi="仿宋" w:eastAsia="彩虹粗仿宋"/>
          <w:bCs/>
          <w:sz w:val="32"/>
          <w:szCs w:val="32"/>
          <w:lang w:eastAsia="zh-CN"/>
        </w:rPr>
        <w:t>以下简称“服务对象”</w:t>
      </w:r>
      <w:r>
        <w:rPr>
          <w:rFonts w:hint="eastAsia" w:ascii="彩虹粗仿宋" w:hAnsi="仿宋" w:eastAsia="彩虹粗仿宋"/>
          <w:bCs/>
          <w:sz w:val="32"/>
          <w:szCs w:val="32"/>
        </w:rPr>
        <w:t>）</w:t>
      </w:r>
      <w:r>
        <w:rPr>
          <w:rFonts w:hint="eastAsia" w:ascii="彩虹粗仿宋" w:hAnsi="仿宋" w:eastAsia="彩虹粗仿宋"/>
          <w:bCs/>
          <w:sz w:val="32"/>
          <w:szCs w:val="32"/>
          <w:lang w:eastAsia="zh-CN"/>
        </w:rPr>
        <w:t>的工作要求，特别是服务态度、业务</w:t>
      </w:r>
      <w:r>
        <w:rPr>
          <w:rFonts w:hint="eastAsia" w:ascii="彩虹粗仿宋" w:hAnsi="仿宋" w:eastAsia="彩虹粗仿宋"/>
          <w:bCs/>
          <w:sz w:val="32"/>
          <w:szCs w:val="32"/>
        </w:rPr>
        <w:t>差错率、工作效率、</w:t>
      </w:r>
      <w:r>
        <w:rPr>
          <w:rFonts w:hint="eastAsia" w:ascii="彩虹粗仿宋" w:hAnsi="仿宋" w:eastAsia="彩虹粗仿宋"/>
          <w:bCs/>
          <w:sz w:val="32"/>
          <w:szCs w:val="32"/>
          <w:lang w:eastAsia="zh-CN"/>
        </w:rPr>
        <w:t>有无重大违规事项</w:t>
      </w:r>
      <w:r>
        <w:rPr>
          <w:rFonts w:hint="eastAsia" w:ascii="彩虹粗仿宋" w:hAnsi="仿宋" w:eastAsia="彩虹粗仿宋"/>
          <w:bCs/>
          <w:sz w:val="32"/>
          <w:szCs w:val="32"/>
        </w:rPr>
        <w:t>等</w:t>
      </w:r>
      <w:r>
        <w:rPr>
          <w:rFonts w:hint="eastAsia" w:ascii="彩虹粗仿宋" w:hAnsi="仿宋" w:eastAsia="彩虹粗仿宋"/>
          <w:bCs/>
          <w:sz w:val="32"/>
          <w:szCs w:val="32"/>
          <w:lang w:eastAsia="zh-CN"/>
        </w:rPr>
        <w:t>服务对象对我行驻点服务的重点考核内容。</w:t>
      </w:r>
    </w:p>
    <w:p w14:paraId="55EA5B80">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w:t>
      </w:r>
      <w:r>
        <w:rPr>
          <w:rFonts w:hint="eastAsia" w:ascii="彩虹楷体" w:hAnsi="彩虹楷体" w:eastAsia="彩虹楷体" w:cs="彩虹楷体"/>
          <w:b/>
          <w:bCs/>
          <w:snapToGrid w:val="0"/>
          <w:color w:val="000000" w:themeColor="text1"/>
          <w:kern w:val="0"/>
          <w:sz w:val="32"/>
          <w:szCs w:val="32"/>
          <w:highlight w:val="none"/>
          <w:lang w:val="en-US" w:eastAsia="zh-CN"/>
          <w14:textFill>
            <w14:solidFill>
              <w14:schemeClr w14:val="tx1"/>
            </w14:solidFill>
          </w14:textFill>
        </w:rPr>
        <w:t>三</w:t>
      </w: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）外包服务规范</w:t>
      </w:r>
    </w:p>
    <w:p w14:paraId="2B86679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投标人在外包服务过程中不得违反禁止性规定，主要包括但不限于以下内容：</w:t>
      </w:r>
    </w:p>
    <w:p w14:paraId="0F2D858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1.不得转移我行客户资源。</w:t>
      </w:r>
    </w:p>
    <w:p w14:paraId="4DE8C35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 xml:space="preserve">2.不得套取营销活动费用。 </w:t>
      </w:r>
    </w:p>
    <w:p w14:paraId="047F506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3.不得向客户传递与事实不符的业务信息。</w:t>
      </w:r>
    </w:p>
    <w:p w14:paraId="4355EBC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4.不得以我行名义开展活动。</w:t>
      </w:r>
    </w:p>
    <w:p w14:paraId="3D40086A">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5.不得与我行员工发生经济往来。</w:t>
      </w:r>
    </w:p>
    <w:p w14:paraId="0B5115B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6.外包合同（协议）约定范围外使用或披露我行信息。</w:t>
      </w:r>
    </w:p>
    <w:p w14:paraId="276E22F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7.不得引导、唆使客户从事或参与违法、违规、违约的活动。</w:t>
      </w:r>
    </w:p>
    <w:p w14:paraId="324BF624">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8.不得在外包服务中伪造虚假材料或协助客户提供虚假信息。</w:t>
      </w:r>
    </w:p>
    <w:p w14:paraId="53C31E2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9.不得存在或从事其他违法、违规、违约的行为或活动。</w:t>
      </w:r>
    </w:p>
    <w:p w14:paraId="372190F0">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10.在我行办公场所或营业场所内开展外包业务的，不得将具有拍照、录像功能的设备带入工作场所。</w:t>
      </w:r>
    </w:p>
    <w:p w14:paraId="3A488A4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11.不得登陆与工作无关的任何网站和平台，不得使用他人账号登陆设备和系统，不得查询、浏览与外包业务无关的数据。</w:t>
      </w:r>
    </w:p>
    <w:p w14:paraId="2E507A81">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w:t>
      </w:r>
      <w:r>
        <w:rPr>
          <w:rFonts w:hint="eastAsia" w:ascii="彩虹楷体" w:hAnsi="彩虹楷体" w:eastAsia="彩虹楷体" w:cs="彩虹楷体"/>
          <w:b/>
          <w:bCs/>
          <w:snapToGrid w:val="0"/>
          <w:color w:val="000000" w:themeColor="text1"/>
          <w:kern w:val="0"/>
          <w:sz w:val="32"/>
          <w:szCs w:val="32"/>
          <w:highlight w:val="none"/>
          <w:lang w:val="en-US" w:eastAsia="zh-CN"/>
          <w14:textFill>
            <w14:solidFill>
              <w14:schemeClr w14:val="tx1"/>
            </w14:solidFill>
          </w14:textFill>
        </w:rPr>
        <w:t>四</w:t>
      </w: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）保密要求及信息安全管理</w:t>
      </w:r>
    </w:p>
    <w:p w14:paraId="71518F3F">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投标人应对我行及我行客户信息承担严格保密义务，非履行外包服务合同必要的人员不得接触信息。服务过程中产生、加工、交互的信息和知识产权归属于我行，同属于保密信息范畴。不得违规收集、存储、使用、加工、传输、提供、公开、删除客户信息。</w:t>
      </w:r>
    </w:p>
    <w:p w14:paraId="08A4DDC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2.投标人非经我行书面许可，不得对任何第三方谈及或提供我行及客户信息，法律另有规定的除外。</w:t>
      </w:r>
    </w:p>
    <w:p w14:paraId="2A2660E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3.须严守我行商业秘密、技术秘密、业务信息，不得擅自复制、存留、扩散、抄录个人信贷档案，不得擅自删除、修改和转移业务系统中的信息，对所接触的信息负有保密义务，对于外包服务人员泄密或作案给我行造成经济及声誉损失的，由外包方承担相应的法律责任和赔偿由此造成的损失。</w:t>
      </w:r>
    </w:p>
    <w:p w14:paraId="51CDB75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4.投标人禁止利用我行保密信息从事损害我行利益和声誉的活动，禁止利用合作之便获取我行与合作无关的保密信息。</w:t>
      </w:r>
    </w:p>
    <w:p w14:paraId="1C88BC12">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5.投标人合作到期或外包服务人员离职等, 禁止带走任何我行保密信息,在保密协议规定的保护期内禁止泄漏任何我行保密信息。</w:t>
      </w:r>
    </w:p>
    <w:p w14:paraId="40785210">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6.投标人必须与外包服务人员签订保密协议或在双方签订的其它协议中加入保密条款，保密要求不得低于我行对投标人的保密要求。</w:t>
      </w:r>
    </w:p>
    <w:p w14:paraId="48D81B0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7.投标人应加强员工管理，建立员工联系制度，掌握员工个人姓名、身份证号码、联系电话、家庭住址、家庭其他成员姓名及联系电话等基本信息,填写包含上述基本信息的登记表，如发生信息泄密风险，投标人应及时定位相关人员。</w:t>
      </w:r>
    </w:p>
    <w:p w14:paraId="4E0CDE90">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w:t>
      </w:r>
      <w:r>
        <w:rPr>
          <w:rFonts w:hint="eastAsia" w:ascii="彩虹楷体" w:hAnsi="彩虹楷体" w:eastAsia="彩虹楷体" w:cs="彩虹楷体"/>
          <w:b/>
          <w:bCs/>
          <w:snapToGrid w:val="0"/>
          <w:color w:val="000000" w:themeColor="text1"/>
          <w:kern w:val="0"/>
          <w:sz w:val="32"/>
          <w:szCs w:val="32"/>
          <w:highlight w:val="none"/>
          <w:lang w:val="en-US" w:eastAsia="zh-CN"/>
          <w14:textFill>
            <w14:solidFill>
              <w14:schemeClr w14:val="tx1"/>
            </w14:solidFill>
          </w14:textFill>
        </w:rPr>
        <w:t>五</w:t>
      </w: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）应急管理</w:t>
      </w:r>
    </w:p>
    <w:p w14:paraId="292C5AA2">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投标人需制定合作业务相关的风险管理控制措施和应对突发事件的应急措施，定期组织外包服务人员开展应急演练。同时配合我行的日常演练，并根据我行需求在突发事件应急响应及恢复过程中提供相应支持。</w:t>
      </w:r>
    </w:p>
    <w:p w14:paraId="0AB6726E">
      <w:pPr>
        <w:keepNext w:val="0"/>
        <w:keepLines w:val="0"/>
        <w:pageBreakBefore w:val="0"/>
        <w:widowControl w:val="0"/>
        <w:kinsoku/>
        <w:wordWrap/>
        <w:overflowPunct/>
        <w:topLinePunct w:val="0"/>
        <w:autoSpaceDE/>
        <w:autoSpaceDN/>
        <w:bidi w:val="0"/>
        <w:adjustRightInd/>
        <w:snapToGrid/>
        <w:spacing w:line="587" w:lineRule="exact"/>
        <w:ind w:firstLine="643" w:firstLineChars="200"/>
        <w:textAlignment w:val="auto"/>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pP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w:t>
      </w:r>
      <w:r>
        <w:rPr>
          <w:rFonts w:hint="eastAsia" w:ascii="彩虹楷体" w:hAnsi="彩虹楷体" w:eastAsia="彩虹楷体" w:cs="彩虹楷体"/>
          <w:b/>
          <w:bCs/>
          <w:snapToGrid w:val="0"/>
          <w:color w:val="000000" w:themeColor="text1"/>
          <w:kern w:val="0"/>
          <w:sz w:val="32"/>
          <w:szCs w:val="32"/>
          <w:highlight w:val="none"/>
          <w:lang w:val="en-US" w:eastAsia="zh-CN"/>
          <w14:textFill>
            <w14:solidFill>
              <w14:schemeClr w14:val="tx1"/>
            </w14:solidFill>
          </w14:textFill>
        </w:rPr>
        <w:t>六</w:t>
      </w:r>
      <w:r>
        <w:rPr>
          <w:rFonts w:hint="eastAsia" w:ascii="彩虹楷体" w:hAnsi="彩虹楷体" w:eastAsia="彩虹楷体" w:cs="彩虹楷体"/>
          <w:b/>
          <w:bCs/>
          <w:snapToGrid w:val="0"/>
          <w:color w:val="000000" w:themeColor="text1"/>
          <w:kern w:val="0"/>
          <w:sz w:val="32"/>
          <w:szCs w:val="32"/>
          <w:highlight w:val="none"/>
          <w14:textFill>
            <w14:solidFill>
              <w14:schemeClr w14:val="tx1"/>
            </w14:solidFill>
          </w14:textFill>
        </w:rPr>
        <w:t>）退出机制</w:t>
      </w:r>
    </w:p>
    <w:p w14:paraId="58E62B67">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投标人有下列情形之一的，立即终止合作：</w:t>
      </w:r>
    </w:p>
    <w:p w14:paraId="3A6A6256">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1.投标人自身经营条件发生变化，无法继续提供符合外包协议约定标准的服务；</w:t>
      </w:r>
    </w:p>
    <w:p w14:paraId="4781DAAA">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2.投标人严重违反我行规章制度或未履行协议规定义务；</w:t>
      </w:r>
    </w:p>
    <w:p w14:paraId="1C48E3E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3.投标人尽职履责不到位，导致监管通报或处罚、大量或重大客户投诉、严重负面舆情等；</w:t>
      </w:r>
    </w:p>
    <w:p w14:paraId="2D9D9B1D">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4.投标人在合同执行过程中违约或违反信息保密有关规定，侵犯第三方权益或导致我行业务及产品信息、商户及客户信息泄露；</w:t>
      </w:r>
    </w:p>
    <w:p w14:paraId="2CB8F5B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5.投标人3次（含）以上无法达到外包合同约定的服务标准，责令其限期整改后仍未得到明显改善；</w:t>
      </w:r>
    </w:p>
    <w:p w14:paraId="5F2414B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6.投标人发生重大事故、案件；</w:t>
      </w:r>
    </w:p>
    <w:p w14:paraId="7D6A7985">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default"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t>7.</w:t>
      </w:r>
      <w:r>
        <w:rPr>
          <w:rFonts w:hint="eastAsia" w:ascii="彩虹粗仿宋" w:hAnsi="仿宋" w:eastAsia="彩虹粗仿宋"/>
          <w:bCs/>
          <w:sz w:val="32"/>
          <w:szCs w:val="32"/>
        </w:rPr>
        <w:t>服务对象对我行驻点服务考核</w:t>
      </w:r>
      <w:r>
        <w:rPr>
          <w:rFonts w:hint="eastAsia" w:ascii="彩虹粗仿宋" w:hAnsi="仿宋" w:eastAsia="彩虹粗仿宋"/>
          <w:bCs/>
          <w:sz w:val="32"/>
          <w:szCs w:val="32"/>
          <w:lang w:eastAsia="zh-CN"/>
        </w:rPr>
        <w:t>连续</w:t>
      </w:r>
      <w:r>
        <w:rPr>
          <w:rFonts w:hint="eastAsia" w:ascii="彩虹粗仿宋" w:hAnsi="仿宋" w:eastAsia="彩虹粗仿宋"/>
          <w:bCs/>
          <w:sz w:val="32"/>
          <w:szCs w:val="32"/>
          <w:lang w:val="en-US" w:eastAsia="zh-CN"/>
        </w:rPr>
        <w:t>4个季度排名同业后50%的</w:t>
      </w:r>
      <w:r>
        <w:rPr>
          <w:rFonts w:hint="eastAsia" w:ascii="彩虹粗仿宋" w:hAnsi="仿宋" w:eastAsia="彩虹粗仿宋"/>
          <w:bCs/>
          <w:sz w:val="32"/>
          <w:szCs w:val="32"/>
        </w:rPr>
        <w:t>，我行有权提前终止本项目的合作事项并按从高至低得分的备选</w:t>
      </w:r>
      <w:r>
        <w:rPr>
          <w:rFonts w:hint="eastAsia" w:ascii="彩虹粗仿宋" w:hAnsi="仿宋" w:eastAsia="彩虹粗仿宋"/>
          <w:bCs/>
          <w:sz w:val="32"/>
          <w:szCs w:val="32"/>
          <w:lang w:eastAsia="zh-CN"/>
        </w:rPr>
        <w:t>供应商</w:t>
      </w:r>
      <w:r>
        <w:rPr>
          <w:rFonts w:hint="eastAsia" w:ascii="彩虹粗仿宋" w:hAnsi="仿宋" w:eastAsia="彩虹粗仿宋"/>
          <w:bCs/>
          <w:sz w:val="32"/>
          <w:szCs w:val="32"/>
        </w:rPr>
        <w:t>进行替换。</w:t>
      </w:r>
    </w:p>
    <w:p w14:paraId="60F8CB8B">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粗仿宋" w:hAnsi="宋体" w:eastAsia="彩虹粗仿宋" w:cs="Times New Roman"/>
          <w:snapToGrid w:val="0"/>
          <w:color w:val="000000" w:themeColor="text1"/>
          <w:kern w:val="0"/>
          <w:sz w:val="32"/>
          <w:szCs w:val="32"/>
          <w:highlight w:val="none"/>
          <w:lang w:eastAsia="zh-CN"/>
          <w14:textFill>
            <w14:solidFill>
              <w14:schemeClr w14:val="tx1"/>
            </w14:solidFill>
          </w14:textFill>
        </w:rPr>
      </w:pPr>
      <w:r>
        <w:rPr>
          <w:rFonts w:hint="eastAsia" w:ascii="彩虹粗仿宋" w:hAnsi="宋体" w:eastAsia="彩虹粗仿宋" w:cs="Times New Roman"/>
          <w:snapToGrid w:val="0"/>
          <w:color w:val="000000" w:themeColor="text1"/>
          <w:kern w:val="0"/>
          <w:sz w:val="32"/>
          <w:szCs w:val="32"/>
          <w:highlight w:val="none"/>
          <w:lang w:val="en-US" w:eastAsia="zh-CN"/>
          <w14:textFill>
            <w14:solidFill>
              <w14:schemeClr w14:val="tx1"/>
            </w14:solidFill>
          </w14:textFill>
        </w:rPr>
        <w:t>8</w:t>
      </w:r>
      <w:r>
        <w:rPr>
          <w:rFonts w:hint="eastAsia" w:ascii="彩虹粗仿宋" w:hAnsi="宋体" w:eastAsia="彩虹粗仿宋" w:cs="Times New Roman"/>
          <w:snapToGrid w:val="0"/>
          <w:color w:val="000000" w:themeColor="text1"/>
          <w:kern w:val="0"/>
          <w:sz w:val="32"/>
          <w:szCs w:val="32"/>
          <w:highlight w:val="none"/>
          <w14:textFill>
            <w14:solidFill>
              <w14:schemeClr w14:val="tx1"/>
            </w14:solidFill>
          </w14:textFill>
        </w:rPr>
        <w:t>.发生其他国家法律法规、相关政策以及建设银行规定的禁止准入和停止业务关系的情形。</w:t>
      </w:r>
    </w:p>
    <w:p w14:paraId="4FC19DBE">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四、服务数量要求</w:t>
      </w:r>
    </w:p>
    <w:p w14:paraId="79719D62">
      <w:pPr>
        <w:ind w:firstLine="640" w:firstLineChars="200"/>
        <w:rPr>
          <w:rFonts w:ascii="彩虹粗仿宋" w:eastAsia="彩虹粗仿宋"/>
          <w:sz w:val="32"/>
          <w:szCs w:val="32"/>
        </w:rPr>
      </w:pPr>
      <w:r>
        <w:rPr>
          <w:rFonts w:hint="eastAsia" w:ascii="彩虹粗仿宋" w:eastAsia="彩虹粗仿宋"/>
          <w:sz w:val="32"/>
          <w:szCs w:val="32"/>
        </w:rPr>
        <w:t>拟</w:t>
      </w:r>
      <w:r>
        <w:rPr>
          <w:rFonts w:hint="eastAsia" w:ascii="彩虹粗仿宋" w:eastAsia="彩虹粗仿宋"/>
          <w:sz w:val="32"/>
          <w:szCs w:val="32"/>
          <w:lang w:val="en-US" w:eastAsia="zh-CN"/>
        </w:rPr>
        <w:t>采购三家供应商，备选两家</w:t>
      </w:r>
      <w:r>
        <w:rPr>
          <w:rFonts w:hint="eastAsia" w:ascii="彩虹粗仿宋" w:eastAsia="彩虹粗仿宋"/>
          <w:sz w:val="32"/>
          <w:szCs w:val="32"/>
        </w:rPr>
        <w:t>。</w:t>
      </w:r>
    </w:p>
    <w:p w14:paraId="3ECA8288">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五、服务供应安排</w:t>
      </w:r>
    </w:p>
    <w:p w14:paraId="573EC40F">
      <w:pPr>
        <w:spacing w:line="360" w:lineRule="auto"/>
        <w:ind w:firstLine="640" w:firstLineChars="200"/>
        <w:rPr>
          <w:rFonts w:hint="eastAsia" w:ascii="彩虹粗仿宋" w:eastAsia="彩虹粗仿宋"/>
          <w:sz w:val="32"/>
          <w:szCs w:val="32"/>
        </w:rPr>
      </w:pPr>
      <w:r>
        <w:rPr>
          <w:rFonts w:hint="eastAsia" w:ascii="彩虹粗仿宋" w:hAnsi="彩虹粗仿宋" w:eastAsia="彩虹粗仿宋"/>
          <w:sz w:val="32"/>
          <w:szCs w:val="32"/>
        </w:rPr>
        <w:t>为保证服务质量，本次项目将</w:t>
      </w:r>
      <w:r>
        <w:rPr>
          <w:rFonts w:hint="eastAsia" w:ascii="彩虹粗仿宋" w:eastAsia="彩虹粗仿宋"/>
          <w:sz w:val="32"/>
          <w:szCs w:val="32"/>
        </w:rPr>
        <w:t>全区按地级市业务量分为三个区域，按照综合评审得分由高到低顺序入选三家中标人（备选两家），</w:t>
      </w:r>
      <w:r>
        <w:rPr>
          <w:rFonts w:hint="eastAsia" w:ascii="彩虹粗仿宋" w:eastAsia="彩虹粗仿宋"/>
          <w:sz w:val="32"/>
          <w:szCs w:val="32"/>
          <w:lang w:val="en-US" w:eastAsia="zh-CN"/>
        </w:rPr>
        <w:t>依次选择服务区域，</w:t>
      </w:r>
      <w:r>
        <w:rPr>
          <w:rFonts w:hint="eastAsia" w:ascii="彩虹粗仿宋" w:eastAsia="彩虹粗仿宋"/>
          <w:sz w:val="32"/>
          <w:szCs w:val="32"/>
        </w:rPr>
        <w:t>以区域为单位提供服务。</w:t>
      </w:r>
      <w:r>
        <w:rPr>
          <w:rFonts w:hint="eastAsia" w:ascii="彩虹粗仿宋" w:eastAsia="彩虹粗仿宋"/>
          <w:sz w:val="32"/>
          <w:szCs w:val="32"/>
          <w:lang w:val="en-US" w:eastAsia="zh-CN"/>
        </w:rPr>
        <w:t>详见下表：</w:t>
      </w:r>
    </w:p>
    <w:tbl>
      <w:tblPr>
        <w:tblStyle w:val="6"/>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733"/>
        <w:gridCol w:w="2500"/>
        <w:gridCol w:w="3083"/>
      </w:tblGrid>
      <w:tr w14:paraId="3D61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0" w:type="dxa"/>
          </w:tcPr>
          <w:p w14:paraId="1645942C">
            <w:pPr>
              <w:jc w:val="center"/>
              <w:rPr>
                <w:rFonts w:hint="default" w:cs="Times New Roman" w:asciiTheme="minorEastAsia" w:hAnsiTheme="minorEastAsia"/>
                <w:b/>
                <w:bCs/>
                <w:snapToGrid w:val="0"/>
                <w:kern w:val="0"/>
                <w:sz w:val="24"/>
                <w:szCs w:val="32"/>
                <w:lang w:val="en-US" w:eastAsia="zh-CN"/>
              </w:rPr>
            </w:pPr>
          </w:p>
        </w:tc>
        <w:tc>
          <w:tcPr>
            <w:tcW w:w="1733" w:type="dxa"/>
          </w:tcPr>
          <w:p w14:paraId="565FFE8F">
            <w:pPr>
              <w:jc w:val="center"/>
              <w:rPr>
                <w:rFonts w:hint="default" w:cs="Times New Roman" w:asciiTheme="minorEastAsia" w:hAnsiTheme="minorEastAsia"/>
                <w:b/>
                <w:bCs/>
                <w:snapToGrid w:val="0"/>
                <w:kern w:val="0"/>
                <w:sz w:val="24"/>
                <w:szCs w:val="32"/>
                <w:lang w:val="en-US" w:eastAsia="zh-CN"/>
              </w:rPr>
            </w:pPr>
            <w:r>
              <w:rPr>
                <w:rFonts w:hint="eastAsia" w:cs="Times New Roman" w:asciiTheme="minorEastAsia" w:hAnsiTheme="minorEastAsia"/>
                <w:b/>
                <w:bCs/>
                <w:snapToGrid w:val="0"/>
                <w:kern w:val="0"/>
                <w:sz w:val="24"/>
                <w:szCs w:val="32"/>
                <w:lang w:val="en-US" w:eastAsia="zh-CN"/>
              </w:rPr>
              <w:t>区域地市</w:t>
            </w:r>
          </w:p>
        </w:tc>
        <w:tc>
          <w:tcPr>
            <w:tcW w:w="2500" w:type="dxa"/>
          </w:tcPr>
          <w:p w14:paraId="5AA47E42">
            <w:pPr>
              <w:jc w:val="center"/>
              <w:rPr>
                <w:rFonts w:hint="default" w:cs="Times New Roman" w:asciiTheme="minorEastAsia" w:hAnsiTheme="minorEastAsia"/>
                <w:b/>
                <w:bCs/>
                <w:snapToGrid w:val="0"/>
                <w:kern w:val="0"/>
                <w:sz w:val="24"/>
                <w:szCs w:val="32"/>
                <w:lang w:val="en-US" w:eastAsia="zh-CN"/>
              </w:rPr>
            </w:pPr>
            <w:r>
              <w:rPr>
                <w:rFonts w:hint="eastAsia" w:cs="Times New Roman" w:asciiTheme="minorEastAsia" w:hAnsiTheme="minorEastAsia"/>
                <w:b/>
                <w:bCs/>
                <w:snapToGrid w:val="0"/>
                <w:kern w:val="0"/>
                <w:sz w:val="24"/>
                <w:szCs w:val="32"/>
                <w:lang w:val="en-US" w:eastAsia="zh-CN"/>
              </w:rPr>
              <w:t>服务项目</w:t>
            </w:r>
          </w:p>
        </w:tc>
        <w:tc>
          <w:tcPr>
            <w:tcW w:w="3083" w:type="dxa"/>
          </w:tcPr>
          <w:p w14:paraId="23DE39D7">
            <w:pPr>
              <w:jc w:val="center"/>
              <w:rPr>
                <w:rFonts w:hint="default" w:cs="Times New Roman" w:asciiTheme="minorEastAsia" w:hAnsiTheme="minorEastAsia"/>
                <w:b/>
                <w:bCs/>
                <w:snapToGrid w:val="0"/>
                <w:kern w:val="0"/>
                <w:sz w:val="24"/>
                <w:szCs w:val="32"/>
                <w:lang w:val="en-US" w:eastAsia="zh-CN"/>
              </w:rPr>
            </w:pPr>
            <w:r>
              <w:rPr>
                <w:rFonts w:hint="eastAsia" w:cs="Times New Roman" w:asciiTheme="minorEastAsia" w:hAnsiTheme="minorEastAsia"/>
                <w:b/>
                <w:bCs/>
                <w:snapToGrid w:val="0"/>
                <w:kern w:val="0"/>
                <w:sz w:val="24"/>
                <w:szCs w:val="32"/>
                <w:lang w:val="en-US" w:eastAsia="zh-CN"/>
              </w:rPr>
              <w:t>服务地点</w:t>
            </w:r>
          </w:p>
        </w:tc>
      </w:tr>
      <w:tr w14:paraId="0FB1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1370" w:type="dxa"/>
            <w:vAlign w:val="center"/>
          </w:tcPr>
          <w:p w14:paraId="4ACE6697">
            <w:pPr>
              <w:jc w:val="center"/>
              <w:rPr>
                <w:rFonts w:hint="default"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区域一</w:t>
            </w:r>
          </w:p>
        </w:tc>
        <w:tc>
          <w:tcPr>
            <w:tcW w:w="1733" w:type="dxa"/>
            <w:vAlign w:val="center"/>
          </w:tcPr>
          <w:p w14:paraId="4053A412">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南宁</w:t>
            </w:r>
          </w:p>
        </w:tc>
        <w:tc>
          <w:tcPr>
            <w:tcW w:w="2500" w:type="dxa"/>
            <w:vAlign w:val="top"/>
          </w:tcPr>
          <w:p w14:paraId="17733216">
            <w:pPr>
              <w:jc w:val="both"/>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1.</w:t>
            </w:r>
            <w:r>
              <w:rPr>
                <w:rFonts w:hint="eastAsia" w:cs="Times New Roman" w:asciiTheme="minorEastAsia" w:hAnsiTheme="minorEastAsia"/>
                <w:snapToGrid w:val="0"/>
                <w:kern w:val="0"/>
                <w:sz w:val="24"/>
                <w:szCs w:val="32"/>
              </w:rPr>
              <w:t>个贷业务流程辅助</w:t>
            </w:r>
          </w:p>
          <w:p w14:paraId="2A106593">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2.</w:t>
            </w:r>
            <w:r>
              <w:rPr>
                <w:rFonts w:hint="eastAsia" w:cs="Times New Roman" w:asciiTheme="minorEastAsia" w:hAnsiTheme="minorEastAsia"/>
                <w:snapToGrid w:val="0"/>
                <w:kern w:val="0"/>
                <w:sz w:val="24"/>
                <w:szCs w:val="32"/>
                <w:lang w:eastAsia="zh-CN"/>
              </w:rPr>
              <w:t>个贷业务档案整理</w:t>
            </w:r>
          </w:p>
          <w:p w14:paraId="62584A8B">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3.</w:t>
            </w:r>
            <w:r>
              <w:rPr>
                <w:rFonts w:hint="eastAsia" w:cs="Times New Roman" w:asciiTheme="minorEastAsia" w:hAnsiTheme="minorEastAsia"/>
                <w:snapToGrid w:val="0"/>
                <w:kern w:val="0"/>
                <w:sz w:val="24"/>
                <w:szCs w:val="32"/>
                <w:lang w:eastAsia="zh-CN"/>
              </w:rPr>
              <w:t>房改金融业务驻点服务</w:t>
            </w:r>
          </w:p>
          <w:p w14:paraId="48B20913">
            <w:pPr>
              <w:jc w:val="both"/>
              <w:rPr>
                <w:rFonts w:hint="eastAsia" w:cs="Times New Roman" w:asciiTheme="minorEastAsia" w:hAnsiTheme="minorEastAsia" w:eastAsia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4.</w:t>
            </w:r>
            <w:r>
              <w:rPr>
                <w:rFonts w:hint="eastAsia" w:cs="Times New Roman" w:asciiTheme="minorEastAsia" w:hAnsiTheme="minorEastAsia"/>
                <w:snapToGrid w:val="0"/>
                <w:kern w:val="0"/>
                <w:sz w:val="24"/>
                <w:szCs w:val="32"/>
                <w:lang w:eastAsia="zh-CN"/>
              </w:rPr>
              <w:t>普惠贷款辅助管理</w:t>
            </w:r>
          </w:p>
        </w:tc>
        <w:tc>
          <w:tcPr>
            <w:tcW w:w="3083" w:type="dxa"/>
            <w:vAlign w:val="top"/>
          </w:tcPr>
          <w:p w14:paraId="7B37E3D3">
            <w:pPr>
              <w:jc w:val="both"/>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1.南宁各城区支行</w:t>
            </w:r>
          </w:p>
          <w:p w14:paraId="39B770AD">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2.</w:t>
            </w:r>
            <w:r>
              <w:rPr>
                <w:rFonts w:hint="eastAsia" w:cs="Times New Roman" w:asciiTheme="minorEastAsia" w:hAnsiTheme="minorEastAsia"/>
                <w:snapToGrid w:val="0"/>
                <w:kern w:val="0"/>
                <w:sz w:val="24"/>
                <w:szCs w:val="32"/>
                <w:lang w:eastAsia="zh-CN"/>
              </w:rPr>
              <w:t>我行提供的全封闭管理（监控全区域覆盖、禁带手机）作业区域</w:t>
            </w:r>
          </w:p>
          <w:p w14:paraId="2DCA75C0">
            <w:pPr>
              <w:jc w:val="both"/>
              <w:rPr>
                <w:rFonts w:hint="eastAsia" w:cs="Times New Roman" w:asciiTheme="minorEastAsia" w:hAnsiTheme="minorEastAsia" w:eastAsia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3.南宁市</w:t>
            </w:r>
            <w:r>
              <w:rPr>
                <w:rFonts w:hint="eastAsia" w:cs="Times New Roman" w:asciiTheme="minorEastAsia" w:hAnsiTheme="minorEastAsia"/>
                <w:snapToGrid w:val="0"/>
                <w:kern w:val="0"/>
                <w:sz w:val="24"/>
                <w:szCs w:val="32"/>
                <w:lang w:eastAsia="zh-CN"/>
              </w:rPr>
              <w:t>公积金中心、住建局、房管所等住建部门</w:t>
            </w:r>
          </w:p>
        </w:tc>
      </w:tr>
      <w:tr w14:paraId="7F58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32B2919B">
            <w:pPr>
              <w:jc w:val="center"/>
              <w:rPr>
                <w:rFonts w:hint="default"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区域二</w:t>
            </w:r>
          </w:p>
        </w:tc>
        <w:tc>
          <w:tcPr>
            <w:tcW w:w="1733" w:type="dxa"/>
            <w:vAlign w:val="center"/>
          </w:tcPr>
          <w:p w14:paraId="60E2E8E9">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桂林、北海、百色、河池、来宾、贺州</w:t>
            </w:r>
          </w:p>
        </w:tc>
        <w:tc>
          <w:tcPr>
            <w:tcW w:w="2500" w:type="dxa"/>
            <w:vAlign w:val="top"/>
          </w:tcPr>
          <w:p w14:paraId="18915DB6">
            <w:pPr>
              <w:jc w:val="both"/>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1.</w:t>
            </w:r>
            <w:r>
              <w:rPr>
                <w:rFonts w:hint="eastAsia" w:cs="Times New Roman" w:asciiTheme="minorEastAsia" w:hAnsiTheme="minorEastAsia"/>
                <w:snapToGrid w:val="0"/>
                <w:kern w:val="0"/>
                <w:sz w:val="24"/>
                <w:szCs w:val="32"/>
              </w:rPr>
              <w:t>个贷业务流程辅助</w:t>
            </w:r>
          </w:p>
          <w:p w14:paraId="1271A507">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2.</w:t>
            </w:r>
            <w:r>
              <w:rPr>
                <w:rFonts w:hint="eastAsia" w:cs="Times New Roman" w:asciiTheme="minorEastAsia" w:hAnsiTheme="minorEastAsia"/>
                <w:snapToGrid w:val="0"/>
                <w:kern w:val="0"/>
                <w:sz w:val="24"/>
                <w:szCs w:val="32"/>
                <w:lang w:eastAsia="zh-CN"/>
              </w:rPr>
              <w:t>房改金融业务驻点服务</w:t>
            </w:r>
          </w:p>
          <w:p w14:paraId="7D6B06CD">
            <w:pPr>
              <w:jc w:val="both"/>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3.</w:t>
            </w:r>
            <w:r>
              <w:rPr>
                <w:rFonts w:hint="eastAsia" w:cs="Times New Roman" w:asciiTheme="minorEastAsia" w:hAnsiTheme="minorEastAsia"/>
                <w:snapToGrid w:val="0"/>
                <w:kern w:val="0"/>
                <w:sz w:val="24"/>
                <w:szCs w:val="32"/>
                <w:lang w:eastAsia="zh-CN"/>
              </w:rPr>
              <w:t>普惠贷款辅助管理</w:t>
            </w:r>
          </w:p>
        </w:tc>
        <w:tc>
          <w:tcPr>
            <w:tcW w:w="3083" w:type="dxa"/>
            <w:vAlign w:val="top"/>
          </w:tcPr>
          <w:p w14:paraId="7091AAA2">
            <w:pPr>
              <w:jc w:val="both"/>
              <w:rPr>
                <w:rFonts w:hint="eastAsia"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1.各地市分行</w:t>
            </w:r>
          </w:p>
          <w:p w14:paraId="782DAA8C">
            <w:pPr>
              <w:jc w:val="both"/>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2.各地市公积金中心、住建局、房管所等住建部门</w:t>
            </w:r>
          </w:p>
        </w:tc>
      </w:tr>
      <w:tr w14:paraId="0E77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70" w:type="dxa"/>
            <w:vAlign w:val="center"/>
          </w:tcPr>
          <w:p w14:paraId="04A3F89D">
            <w:pPr>
              <w:jc w:val="center"/>
              <w:rPr>
                <w:rFonts w:hint="default"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区域三</w:t>
            </w:r>
          </w:p>
        </w:tc>
        <w:tc>
          <w:tcPr>
            <w:tcW w:w="1733" w:type="dxa"/>
            <w:vAlign w:val="center"/>
          </w:tcPr>
          <w:p w14:paraId="08BA71B0">
            <w:pPr>
              <w:jc w:val="center"/>
              <w:rPr>
                <w:rFonts w:hint="eastAsia"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柳州、梧州、玉林、贵港、钦州、防城港、崇左</w:t>
            </w:r>
          </w:p>
        </w:tc>
        <w:tc>
          <w:tcPr>
            <w:tcW w:w="2500" w:type="dxa"/>
            <w:vAlign w:val="top"/>
          </w:tcPr>
          <w:p w14:paraId="5191D152">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1.</w:t>
            </w:r>
            <w:r>
              <w:rPr>
                <w:rFonts w:hint="eastAsia" w:cs="Times New Roman" w:asciiTheme="minorEastAsia" w:hAnsiTheme="minorEastAsia"/>
                <w:snapToGrid w:val="0"/>
                <w:kern w:val="0"/>
                <w:sz w:val="24"/>
                <w:szCs w:val="32"/>
              </w:rPr>
              <w:t>个贷业务流程辅助</w:t>
            </w:r>
          </w:p>
          <w:p w14:paraId="71391363">
            <w:pPr>
              <w:jc w:val="both"/>
              <w:rPr>
                <w:rFonts w:hint="eastAsia" w:cs="Times New Roman" w:asciiTheme="minorEastAsia" w:hAnsiTheme="minorEastAsia"/>
                <w:snapToGrid w:val="0"/>
                <w:kern w:val="0"/>
                <w:sz w:val="24"/>
                <w:szCs w:val="32"/>
                <w:lang w:eastAsia="zh-CN"/>
              </w:rPr>
            </w:pPr>
            <w:r>
              <w:rPr>
                <w:rFonts w:hint="eastAsia" w:cs="Times New Roman" w:asciiTheme="minorEastAsia" w:hAnsiTheme="minorEastAsia"/>
                <w:snapToGrid w:val="0"/>
                <w:kern w:val="0"/>
                <w:sz w:val="24"/>
                <w:szCs w:val="32"/>
                <w:lang w:val="en-US" w:eastAsia="zh-CN"/>
              </w:rPr>
              <w:t>2.</w:t>
            </w:r>
            <w:r>
              <w:rPr>
                <w:rFonts w:hint="eastAsia" w:cs="Times New Roman" w:asciiTheme="minorEastAsia" w:hAnsiTheme="minorEastAsia"/>
                <w:snapToGrid w:val="0"/>
                <w:kern w:val="0"/>
                <w:sz w:val="24"/>
                <w:szCs w:val="32"/>
                <w:lang w:eastAsia="zh-CN"/>
              </w:rPr>
              <w:t>房改金融业务驻点服务</w:t>
            </w:r>
          </w:p>
          <w:p w14:paraId="42692E64">
            <w:pPr>
              <w:jc w:val="both"/>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3.</w:t>
            </w:r>
            <w:r>
              <w:rPr>
                <w:rFonts w:hint="eastAsia" w:cs="Times New Roman" w:asciiTheme="minorEastAsia" w:hAnsiTheme="minorEastAsia"/>
                <w:snapToGrid w:val="0"/>
                <w:kern w:val="0"/>
                <w:sz w:val="24"/>
                <w:szCs w:val="32"/>
                <w:lang w:eastAsia="zh-CN"/>
              </w:rPr>
              <w:t>普惠贷款辅助管理</w:t>
            </w:r>
          </w:p>
        </w:tc>
        <w:tc>
          <w:tcPr>
            <w:tcW w:w="3083" w:type="dxa"/>
            <w:vAlign w:val="top"/>
          </w:tcPr>
          <w:p w14:paraId="1980F616">
            <w:pPr>
              <w:jc w:val="both"/>
              <w:rPr>
                <w:rFonts w:hint="eastAsia"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1.各地市分行</w:t>
            </w:r>
          </w:p>
          <w:p w14:paraId="0275D69A">
            <w:pPr>
              <w:jc w:val="both"/>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lang w:val="en-US" w:eastAsia="zh-CN"/>
              </w:rPr>
              <w:t>2.各地市公积金中心、住建局、房管所等住建部门</w:t>
            </w:r>
          </w:p>
        </w:tc>
      </w:tr>
    </w:tbl>
    <w:p w14:paraId="04548005">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彩虹粗仿宋" w:hAnsi="宋体" w:eastAsia="彩虹粗仿宋" w:cs="Times New Roman"/>
          <w:b/>
          <w:snapToGrid w:val="0"/>
          <w:color w:val="FF0000"/>
          <w:kern w:val="0"/>
          <w:sz w:val="32"/>
          <w:szCs w:val="32"/>
        </w:rPr>
      </w:pPr>
      <w:r>
        <w:rPr>
          <w:rFonts w:hint="eastAsia" w:ascii="彩虹黑体" w:hAnsi="彩虹黑体" w:eastAsia="彩虹黑体" w:cs="彩虹黑体"/>
          <w:b w:val="0"/>
          <w:bCs/>
          <w:snapToGrid w:val="0"/>
          <w:kern w:val="0"/>
          <w:sz w:val="32"/>
          <w:szCs w:val="32"/>
        </w:rPr>
        <w:t>六、款项支付要求</w:t>
      </w:r>
    </w:p>
    <w:p w14:paraId="2DFEC9F4">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eastAsia" w:ascii="彩虹粗仿宋" w:eastAsia="彩虹粗仿宋"/>
          <w:bCs/>
          <w:sz w:val="32"/>
          <w:szCs w:val="32"/>
        </w:rPr>
      </w:pPr>
      <w:r>
        <w:rPr>
          <w:rFonts w:hint="eastAsia" w:ascii="彩虹粗仿宋" w:eastAsia="彩虹粗仿宋"/>
          <w:bCs/>
          <w:sz w:val="32"/>
          <w:szCs w:val="32"/>
        </w:rPr>
        <w:t>投标人应明确企业管理费，税费等各项成本项目结构；投标人的企业管理费、税费、办公成本三项管理费用之和占建行结算费用比例最高不得超过20%；投标人在收到建行结算款项后扣除管理费用后应全额用于员工支出。</w:t>
      </w:r>
    </w:p>
    <w:p w14:paraId="73EB6CCD">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eastAsia" w:ascii="彩虹粗仿宋" w:eastAsia="彩虹粗仿宋"/>
          <w:bCs/>
          <w:sz w:val="32"/>
          <w:szCs w:val="32"/>
        </w:rPr>
      </w:pPr>
      <w:r>
        <w:rPr>
          <w:rFonts w:hint="eastAsia" w:ascii="彩虹粗仿宋" w:eastAsia="彩虹粗仿宋"/>
          <w:bCs/>
          <w:sz w:val="32"/>
          <w:szCs w:val="32"/>
        </w:rPr>
        <w:t>投标人须在我行下辖网点开立结算账户，其中数币试点城市须开立数币对公账户，用于服务项目结算；原则上收到建行款项10日内通过建行代发</w:t>
      </w:r>
      <w:r>
        <w:rPr>
          <w:rFonts w:hint="eastAsia" w:ascii="彩虹粗仿宋" w:eastAsia="彩虹粗仿宋"/>
          <w:bCs/>
          <w:sz w:val="32"/>
          <w:szCs w:val="32"/>
          <w:lang w:val="en-US" w:eastAsia="zh-CN"/>
        </w:rPr>
        <w:t>该项目的</w:t>
      </w:r>
      <w:r>
        <w:rPr>
          <w:rFonts w:hint="eastAsia" w:ascii="彩虹粗仿宋" w:eastAsia="彩虹粗仿宋"/>
          <w:bCs/>
          <w:sz w:val="32"/>
          <w:szCs w:val="32"/>
        </w:rPr>
        <w:t>员工工资（其中数币试点城市通过建设银行数字人民币钱包代发）。</w:t>
      </w:r>
    </w:p>
    <w:p w14:paraId="3CE132BD">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default" w:ascii="彩虹粗仿宋" w:eastAsia="彩虹粗仿宋"/>
          <w:bCs/>
          <w:sz w:val="32"/>
          <w:szCs w:val="32"/>
          <w:highlight w:val="none"/>
          <w:lang w:val="en-US" w:eastAsia="zh-CN"/>
        </w:rPr>
      </w:pP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外包服务结算费用=∑[各类服务项目有效数量*单价]，费用按季结算，原则上于季度末的次月完成上季服务时间核对并确认结算金额，投标人按当次结算金额开具（或通过税务机关代开）符合规定的增值税专用发票，我行在收到发票后十五个工作日内支付费用。</w:t>
      </w:r>
      <w:r>
        <w:rPr>
          <w:rFonts w:hint="eastAsia" w:ascii="彩虹粗仿宋" w:hAnsi="宋体" w:eastAsia="彩虹粗仿宋" w:cs="Times New Roman"/>
          <w:snapToGrid w:val="0"/>
          <w:kern w:val="0"/>
          <w:sz w:val="32"/>
          <w:szCs w:val="32"/>
          <w:highlight w:val="none"/>
        </w:rPr>
        <w:t>如双方未能按上述约定时间结算核对的，应另行约定时间结算核对。</w:t>
      </w:r>
    </w:p>
    <w:p w14:paraId="0B281A5C">
      <w:pPr>
        <w:keepNext w:val="0"/>
        <w:keepLines w:val="0"/>
        <w:pageBreakBefore w:val="0"/>
        <w:widowControl w:val="0"/>
        <w:kinsoku/>
        <w:wordWrap/>
        <w:overflowPunct/>
        <w:topLinePunct w:val="0"/>
        <w:autoSpaceDE/>
        <w:autoSpaceDN/>
        <w:bidi w:val="0"/>
        <w:adjustRightInd/>
        <w:snapToGrid/>
        <w:spacing w:line="587" w:lineRule="exact"/>
        <w:ind w:firstLine="640" w:firstLineChars="200"/>
        <w:textAlignment w:val="auto"/>
        <w:rPr>
          <w:rFonts w:hint="eastAsia" w:ascii="彩虹黑体" w:hAnsi="彩虹黑体" w:eastAsia="彩虹黑体" w:cs="彩虹黑体"/>
          <w:b w:val="0"/>
          <w:bCs/>
          <w:snapToGrid w:val="0"/>
          <w:kern w:val="0"/>
          <w:sz w:val="32"/>
          <w:szCs w:val="32"/>
        </w:rPr>
      </w:pPr>
      <w:r>
        <w:rPr>
          <w:rFonts w:hint="eastAsia" w:ascii="彩虹黑体" w:hAnsi="彩虹黑体" w:eastAsia="彩虹黑体" w:cs="彩虹黑体"/>
          <w:b w:val="0"/>
          <w:bCs/>
          <w:snapToGrid w:val="0"/>
          <w:kern w:val="0"/>
          <w:sz w:val="32"/>
          <w:szCs w:val="32"/>
        </w:rPr>
        <w:t>七、售后服务要求</w:t>
      </w:r>
    </w:p>
    <w:p w14:paraId="5BB4FB77">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1、投标人应将外包服务人员的基本信息报我</w:t>
      </w:r>
      <w:r>
        <w:rPr>
          <w:rFonts w:hint="eastAsia" w:ascii="彩虹粗仿宋" w:hAnsi="宋体" w:eastAsia="彩虹粗仿宋" w:cs="Times New Roman"/>
          <w:bCs/>
          <w:snapToGrid w:val="0"/>
          <w:color w:val="000000" w:themeColor="text1"/>
          <w:kern w:val="0"/>
          <w:sz w:val="32"/>
          <w:szCs w:val="32"/>
          <w:highlight w:val="none"/>
          <w:lang w:val="en-US" w:eastAsia="zh-CN"/>
          <w14:textFill>
            <w14:solidFill>
              <w14:schemeClr w14:val="tx1"/>
            </w14:solidFill>
          </w14:textFill>
        </w:rPr>
        <w:t>行</w:t>
      </w: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备案，并定期更新；对于外包服务人员新增、离职补充等情况需及时与我行和相关机构沟通，确保服务连续性。</w:t>
      </w:r>
    </w:p>
    <w:p w14:paraId="4E4DCE7A">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pP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2、投标人应建立人员储备机制，须提供总服务人数</w:t>
      </w:r>
      <w:r>
        <w:rPr>
          <w:rFonts w:hint="eastAsia" w:ascii="彩虹粗仿宋" w:hAnsi="宋体" w:eastAsia="彩虹粗仿宋" w:cs="Times New Roman"/>
          <w:bCs/>
          <w:snapToGrid w:val="0"/>
          <w:color w:val="000000" w:themeColor="text1"/>
          <w:kern w:val="0"/>
          <w:sz w:val="32"/>
          <w:szCs w:val="32"/>
          <w:highlight w:val="none"/>
          <w:lang w:val="en-US" w:eastAsia="zh-CN"/>
          <w14:textFill>
            <w14:solidFill>
              <w14:schemeClr w14:val="tx1"/>
            </w14:solidFill>
          </w14:textFill>
        </w:rPr>
        <w:t>20</w:t>
      </w: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%的人员储备，发生人员离岗或其他情况导致不能提供服务时，储备人员能够在10个工作日内补充到位，保证服务的连续性和规范性及满足招标人人员增量要求。</w:t>
      </w:r>
    </w:p>
    <w:p w14:paraId="652A966D">
      <w:pPr>
        <w:keepNext w:val="0"/>
        <w:keepLines w:val="0"/>
        <w:pageBreakBefore w:val="0"/>
        <w:widowControl w:val="0"/>
        <w:tabs>
          <w:tab w:val="left" w:pos="720"/>
          <w:tab w:val="left" w:pos="755"/>
        </w:tabs>
        <w:kinsoku/>
        <w:wordWrap/>
        <w:overflowPunct/>
        <w:topLinePunct w:val="0"/>
        <w:autoSpaceDE/>
        <w:autoSpaceDN/>
        <w:bidi w:val="0"/>
        <w:spacing w:line="587" w:lineRule="exact"/>
        <w:ind w:firstLine="640" w:firstLineChars="200"/>
        <w:textAlignment w:val="auto"/>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bCs/>
          <w:snapToGrid w:val="0"/>
          <w:color w:val="000000" w:themeColor="text1"/>
          <w:kern w:val="0"/>
          <w:sz w:val="32"/>
          <w:szCs w:val="32"/>
          <w:highlight w:val="none"/>
          <w14:textFill>
            <w14:solidFill>
              <w14:schemeClr w14:val="tx1"/>
            </w14:solidFill>
          </w14:textFill>
        </w:rPr>
        <w:t>3、投标人所提供的服务必须确保个贷业务正常开展。如外包服务人员在为我行提供服务过程中出现问题，投标人应妥善解决并负责损失的赔偿。</w:t>
      </w:r>
    </w:p>
    <w:p w14:paraId="719FD884">
      <w:pPr>
        <w:keepNext w:val="0"/>
        <w:keepLines w:val="0"/>
        <w:pageBreakBefore w:val="0"/>
        <w:widowControl w:val="0"/>
        <w:kinsoku/>
        <w:wordWrap/>
        <w:overflowPunct/>
        <w:topLinePunct w:val="0"/>
        <w:autoSpaceDE/>
        <w:autoSpaceDN/>
        <w:bidi w:val="0"/>
        <w:adjustRightInd w:val="0"/>
        <w:snapToGrid w:val="0"/>
        <w:spacing w:line="587" w:lineRule="exact"/>
        <w:ind w:firstLine="640" w:firstLineChars="200"/>
        <w:textAlignment w:val="auto"/>
        <w:rPr>
          <w:rFonts w:hint="eastAsia" w:ascii="彩虹粗仿宋" w:hAnsi="宋体" w:eastAsia="彩虹粗仿宋" w:cs="Times New Roman"/>
          <w:b/>
          <w:snapToGrid w:val="0"/>
          <w:color w:val="FF0000"/>
          <w:kern w:val="0"/>
          <w:sz w:val="32"/>
          <w:szCs w:val="32"/>
        </w:rPr>
      </w:pPr>
      <w:r>
        <w:rPr>
          <w:rFonts w:hint="eastAsia" w:ascii="彩虹黑体" w:hAnsi="彩虹黑体" w:eastAsia="彩虹黑体" w:cs="彩虹黑体"/>
          <w:b w:val="0"/>
          <w:bCs/>
          <w:snapToGrid w:val="0"/>
          <w:kern w:val="0"/>
          <w:sz w:val="32"/>
          <w:szCs w:val="32"/>
        </w:rPr>
        <w:t>八、报价要求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002"/>
        <w:gridCol w:w="2005"/>
        <w:gridCol w:w="2131"/>
      </w:tblGrid>
      <w:tr w14:paraId="5520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B2EDBDA">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序号</w:t>
            </w:r>
          </w:p>
        </w:tc>
        <w:tc>
          <w:tcPr>
            <w:tcW w:w="3002" w:type="dxa"/>
          </w:tcPr>
          <w:p w14:paraId="4972848B">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服务项目</w:t>
            </w:r>
          </w:p>
        </w:tc>
        <w:tc>
          <w:tcPr>
            <w:tcW w:w="2005" w:type="dxa"/>
          </w:tcPr>
          <w:p w14:paraId="1AE5172A">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计量单位</w:t>
            </w:r>
          </w:p>
        </w:tc>
        <w:tc>
          <w:tcPr>
            <w:tcW w:w="2131" w:type="dxa"/>
          </w:tcPr>
          <w:p w14:paraId="47980B00">
            <w:pPr>
              <w:jc w:val="center"/>
              <w:rPr>
                <w:rFonts w:hint="eastAsia" w:cs="Times New Roman" w:asciiTheme="minorEastAsia" w:hAnsiTheme="minorEastAsia"/>
                <w:snapToGrid w:val="0"/>
                <w:kern w:val="0"/>
                <w:sz w:val="24"/>
                <w:szCs w:val="32"/>
              </w:rPr>
            </w:pPr>
            <w:r>
              <w:rPr>
                <w:rFonts w:hint="eastAsia" w:cs="Times New Roman" w:asciiTheme="minorEastAsia" w:hAnsiTheme="minorEastAsia"/>
                <w:snapToGrid w:val="0"/>
                <w:kern w:val="0"/>
                <w:sz w:val="24"/>
                <w:szCs w:val="32"/>
              </w:rPr>
              <w:t>报价格式</w:t>
            </w:r>
          </w:p>
        </w:tc>
      </w:tr>
      <w:tr w14:paraId="3310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ABA6F9D">
            <w:pPr>
              <w:jc w:val="center"/>
              <w:rPr>
                <w:rFonts w:hint="default"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w:t>
            </w:r>
          </w:p>
        </w:tc>
        <w:tc>
          <w:tcPr>
            <w:tcW w:w="3002" w:type="dxa"/>
            <w:vAlign w:val="center"/>
          </w:tcPr>
          <w:p w14:paraId="06769877">
            <w:pPr>
              <w:jc w:val="center"/>
              <w:rPr>
                <w:rFonts w:hint="eastAsia" w:cs="Times New Roman" w:asciiTheme="minorEastAsia" w:hAnsiTheme="minorEastAsia"/>
                <w:snapToGrid w:val="0"/>
                <w:kern w:val="0"/>
                <w:sz w:val="24"/>
                <w:szCs w:val="32"/>
              </w:rPr>
            </w:pPr>
            <w:r>
              <w:rPr>
                <w:rFonts w:hint="eastAsia" w:ascii="宋体" w:hAnsi="宋体" w:eastAsia="宋体" w:cs="宋体"/>
                <w:szCs w:val="21"/>
              </w:rPr>
              <w:t>个贷-信息录入</w:t>
            </w:r>
          </w:p>
        </w:tc>
        <w:tc>
          <w:tcPr>
            <w:tcW w:w="2005" w:type="dxa"/>
          </w:tcPr>
          <w:p w14:paraId="76C41C5C">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笔</w:t>
            </w:r>
          </w:p>
        </w:tc>
        <w:tc>
          <w:tcPr>
            <w:tcW w:w="2131" w:type="dxa"/>
          </w:tcPr>
          <w:p w14:paraId="1D7C0A8C">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元/笔</w:t>
            </w:r>
          </w:p>
        </w:tc>
      </w:tr>
      <w:tr w14:paraId="2A6B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F6206D7">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w:t>
            </w:r>
          </w:p>
        </w:tc>
        <w:tc>
          <w:tcPr>
            <w:tcW w:w="3002" w:type="dxa"/>
            <w:shd w:val="clear" w:color="auto" w:fill="auto"/>
            <w:vAlign w:val="center"/>
          </w:tcPr>
          <w:p w14:paraId="0FB65471">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个贷-信息采集</w:t>
            </w:r>
          </w:p>
        </w:tc>
        <w:tc>
          <w:tcPr>
            <w:tcW w:w="2005" w:type="dxa"/>
            <w:shd w:val="clear" w:color="auto" w:fill="auto"/>
            <w:vAlign w:val="top"/>
          </w:tcPr>
          <w:p w14:paraId="4AD038E1">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57865027">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0787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C1CD97A">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3</w:t>
            </w:r>
          </w:p>
        </w:tc>
        <w:tc>
          <w:tcPr>
            <w:tcW w:w="3002" w:type="dxa"/>
            <w:shd w:val="clear" w:color="auto" w:fill="auto"/>
            <w:vAlign w:val="center"/>
          </w:tcPr>
          <w:p w14:paraId="49C52DA2">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个贷-合同制作</w:t>
            </w:r>
          </w:p>
        </w:tc>
        <w:tc>
          <w:tcPr>
            <w:tcW w:w="2005" w:type="dxa"/>
            <w:shd w:val="clear" w:color="auto" w:fill="auto"/>
            <w:vAlign w:val="top"/>
          </w:tcPr>
          <w:p w14:paraId="7EDD10AF">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4F7C3D2B">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2DC3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B239F68">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4</w:t>
            </w:r>
          </w:p>
        </w:tc>
        <w:tc>
          <w:tcPr>
            <w:tcW w:w="3002" w:type="dxa"/>
            <w:shd w:val="clear" w:color="auto" w:fill="auto"/>
            <w:vAlign w:val="center"/>
          </w:tcPr>
          <w:p w14:paraId="5DE01689">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个贷-抵押登记</w:t>
            </w:r>
          </w:p>
        </w:tc>
        <w:tc>
          <w:tcPr>
            <w:tcW w:w="2005" w:type="dxa"/>
            <w:shd w:val="clear" w:color="auto" w:fill="auto"/>
            <w:vAlign w:val="top"/>
          </w:tcPr>
          <w:p w14:paraId="16B8E1C0">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302B0050">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1B7F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E2951A2">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5</w:t>
            </w:r>
          </w:p>
        </w:tc>
        <w:tc>
          <w:tcPr>
            <w:tcW w:w="3002" w:type="dxa"/>
            <w:shd w:val="clear" w:color="auto" w:fill="auto"/>
            <w:vAlign w:val="center"/>
          </w:tcPr>
          <w:p w14:paraId="6693506E">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贷后-信息采集</w:t>
            </w:r>
          </w:p>
        </w:tc>
        <w:tc>
          <w:tcPr>
            <w:tcW w:w="2005" w:type="dxa"/>
            <w:shd w:val="clear" w:color="auto" w:fill="auto"/>
            <w:vAlign w:val="top"/>
          </w:tcPr>
          <w:p w14:paraId="35AC9EEA">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077C988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152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D834852">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6</w:t>
            </w:r>
          </w:p>
        </w:tc>
        <w:tc>
          <w:tcPr>
            <w:tcW w:w="3002" w:type="dxa"/>
            <w:shd w:val="clear" w:color="auto" w:fill="auto"/>
            <w:vAlign w:val="center"/>
          </w:tcPr>
          <w:p w14:paraId="0A1C98BE">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贷后-抵押登记</w:t>
            </w:r>
          </w:p>
        </w:tc>
        <w:tc>
          <w:tcPr>
            <w:tcW w:w="2005" w:type="dxa"/>
            <w:shd w:val="clear" w:color="auto" w:fill="auto"/>
            <w:vAlign w:val="top"/>
          </w:tcPr>
          <w:p w14:paraId="2EA3807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4CDD19A5">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3966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9F71BD2">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7</w:t>
            </w:r>
          </w:p>
        </w:tc>
        <w:tc>
          <w:tcPr>
            <w:tcW w:w="3002" w:type="dxa"/>
            <w:shd w:val="clear" w:color="auto" w:fill="auto"/>
            <w:vAlign w:val="center"/>
          </w:tcPr>
          <w:p w14:paraId="6232E33F">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档案整理</w:t>
            </w:r>
          </w:p>
        </w:tc>
        <w:tc>
          <w:tcPr>
            <w:tcW w:w="2005" w:type="dxa"/>
            <w:shd w:val="clear" w:color="auto" w:fill="auto"/>
            <w:vAlign w:val="top"/>
          </w:tcPr>
          <w:p w14:paraId="6D8BE7C3">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5BD96339">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3941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DA4FC1F">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8</w:t>
            </w:r>
          </w:p>
        </w:tc>
        <w:tc>
          <w:tcPr>
            <w:tcW w:w="3002" w:type="dxa"/>
            <w:shd w:val="clear" w:color="auto" w:fill="auto"/>
            <w:vAlign w:val="center"/>
          </w:tcPr>
          <w:p w14:paraId="15A869FE">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档案扫描</w:t>
            </w:r>
          </w:p>
        </w:tc>
        <w:tc>
          <w:tcPr>
            <w:tcW w:w="2005" w:type="dxa"/>
            <w:shd w:val="clear" w:color="auto" w:fill="auto"/>
            <w:vAlign w:val="top"/>
          </w:tcPr>
          <w:p w14:paraId="7B08ADC5">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页</w:t>
            </w:r>
          </w:p>
        </w:tc>
        <w:tc>
          <w:tcPr>
            <w:tcW w:w="2131" w:type="dxa"/>
            <w:shd w:val="clear" w:color="auto" w:fill="auto"/>
            <w:vAlign w:val="top"/>
          </w:tcPr>
          <w:p w14:paraId="26F56F94">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元/页</w:t>
            </w:r>
          </w:p>
        </w:tc>
      </w:tr>
      <w:tr w14:paraId="5BE3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95BDBCC">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9</w:t>
            </w:r>
          </w:p>
        </w:tc>
        <w:tc>
          <w:tcPr>
            <w:tcW w:w="3002" w:type="dxa"/>
            <w:shd w:val="clear" w:color="auto" w:fill="auto"/>
            <w:vAlign w:val="center"/>
          </w:tcPr>
          <w:p w14:paraId="11D65107">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公积金、房维业务政策咨询</w:t>
            </w:r>
          </w:p>
        </w:tc>
        <w:tc>
          <w:tcPr>
            <w:tcW w:w="2005" w:type="dxa"/>
            <w:shd w:val="clear" w:color="auto" w:fill="auto"/>
            <w:vAlign w:val="top"/>
          </w:tcPr>
          <w:p w14:paraId="4CB844D0">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64F9CC24">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61AC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6FE78D6">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10</w:t>
            </w:r>
          </w:p>
        </w:tc>
        <w:tc>
          <w:tcPr>
            <w:tcW w:w="3002" w:type="dxa"/>
            <w:shd w:val="clear" w:color="auto" w:fill="auto"/>
            <w:vAlign w:val="center"/>
          </w:tcPr>
          <w:p w14:paraId="6E25CDF7">
            <w:pPr>
              <w:jc w:val="center"/>
              <w:rPr>
                <w:rFonts w:hint="eastAsia" w:ascii="宋体" w:hAnsi="宋体" w:eastAsia="宋体" w:cs="宋体"/>
                <w:kern w:val="2"/>
                <w:sz w:val="21"/>
                <w:szCs w:val="21"/>
                <w:highlight w:val="none"/>
                <w:lang w:val="en-US" w:eastAsia="zh-CN" w:bidi="ar-SA"/>
              </w:rPr>
            </w:pPr>
            <w:r>
              <w:rPr>
                <w:rFonts w:hint="eastAsia" w:ascii="宋体" w:hAnsi="宋体" w:eastAsia="宋体"/>
                <w:szCs w:val="21"/>
                <w:highlight w:val="none"/>
              </w:rPr>
              <w:t>公积金贷款信息采集</w:t>
            </w:r>
          </w:p>
        </w:tc>
        <w:tc>
          <w:tcPr>
            <w:tcW w:w="2005" w:type="dxa"/>
            <w:shd w:val="clear" w:color="auto" w:fill="auto"/>
            <w:vAlign w:val="top"/>
          </w:tcPr>
          <w:p w14:paraId="1FB454FD">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19E8F164">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78BA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992D595">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11</w:t>
            </w:r>
          </w:p>
        </w:tc>
        <w:tc>
          <w:tcPr>
            <w:tcW w:w="3002" w:type="dxa"/>
            <w:shd w:val="clear" w:color="auto" w:fill="auto"/>
            <w:vAlign w:val="center"/>
          </w:tcPr>
          <w:p w14:paraId="5FF4AD2C">
            <w:pPr>
              <w:jc w:val="center"/>
              <w:rPr>
                <w:rFonts w:hint="eastAsia" w:ascii="宋体" w:hAnsi="宋体" w:eastAsia="宋体" w:cs="宋体"/>
                <w:kern w:val="2"/>
                <w:sz w:val="21"/>
                <w:szCs w:val="21"/>
                <w:highlight w:val="none"/>
                <w:lang w:val="en-US" w:eastAsia="zh-CN" w:bidi="ar-SA"/>
              </w:rPr>
            </w:pPr>
            <w:r>
              <w:rPr>
                <w:rFonts w:hint="eastAsia" w:ascii="宋体" w:hAnsi="宋体" w:eastAsia="宋体"/>
                <w:szCs w:val="21"/>
                <w:highlight w:val="none"/>
              </w:rPr>
              <w:t>公积金贷款材料整理</w:t>
            </w:r>
          </w:p>
        </w:tc>
        <w:tc>
          <w:tcPr>
            <w:tcW w:w="2005" w:type="dxa"/>
            <w:shd w:val="clear" w:color="auto" w:fill="auto"/>
            <w:vAlign w:val="top"/>
          </w:tcPr>
          <w:p w14:paraId="533E8897">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44FE8FC4">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085D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4E3982FB">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12</w:t>
            </w:r>
          </w:p>
        </w:tc>
        <w:tc>
          <w:tcPr>
            <w:tcW w:w="3002" w:type="dxa"/>
            <w:shd w:val="clear" w:color="auto" w:fill="auto"/>
            <w:vAlign w:val="center"/>
          </w:tcPr>
          <w:p w14:paraId="36BE336B">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公积金贷款信息录入</w:t>
            </w:r>
          </w:p>
        </w:tc>
        <w:tc>
          <w:tcPr>
            <w:tcW w:w="2005" w:type="dxa"/>
            <w:shd w:val="clear" w:color="auto" w:fill="auto"/>
            <w:vAlign w:val="top"/>
          </w:tcPr>
          <w:p w14:paraId="3BD8F531">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71B6D57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2009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8D7BF30">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13</w:t>
            </w:r>
          </w:p>
        </w:tc>
        <w:tc>
          <w:tcPr>
            <w:tcW w:w="3002" w:type="dxa"/>
            <w:shd w:val="clear" w:color="auto" w:fill="auto"/>
            <w:vAlign w:val="center"/>
          </w:tcPr>
          <w:p w14:paraId="31CA2F54">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公积金贷款合同制作</w:t>
            </w:r>
          </w:p>
        </w:tc>
        <w:tc>
          <w:tcPr>
            <w:tcW w:w="2005" w:type="dxa"/>
            <w:shd w:val="clear" w:color="auto" w:fill="auto"/>
            <w:vAlign w:val="top"/>
          </w:tcPr>
          <w:p w14:paraId="15DD4164">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105B5B66">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0ECA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D1C8D63">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14</w:t>
            </w:r>
          </w:p>
        </w:tc>
        <w:tc>
          <w:tcPr>
            <w:tcW w:w="3002" w:type="dxa"/>
            <w:shd w:val="clear" w:color="auto" w:fill="auto"/>
            <w:vAlign w:val="center"/>
          </w:tcPr>
          <w:p w14:paraId="0825DCA2">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公积金贷款抵押办理</w:t>
            </w:r>
          </w:p>
        </w:tc>
        <w:tc>
          <w:tcPr>
            <w:tcW w:w="2005" w:type="dxa"/>
            <w:shd w:val="clear" w:color="auto" w:fill="auto"/>
            <w:vAlign w:val="top"/>
          </w:tcPr>
          <w:p w14:paraId="26A3F40E">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705C0D73">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4829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131EB80">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15</w:t>
            </w:r>
          </w:p>
        </w:tc>
        <w:tc>
          <w:tcPr>
            <w:tcW w:w="3002" w:type="dxa"/>
            <w:shd w:val="clear" w:color="auto" w:fill="auto"/>
            <w:vAlign w:val="center"/>
          </w:tcPr>
          <w:p w14:paraId="032AAA70">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公积金档案整理</w:t>
            </w:r>
          </w:p>
        </w:tc>
        <w:tc>
          <w:tcPr>
            <w:tcW w:w="2005" w:type="dxa"/>
            <w:shd w:val="clear" w:color="auto" w:fill="auto"/>
            <w:vAlign w:val="top"/>
          </w:tcPr>
          <w:p w14:paraId="3B5EF772">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7C3A4E07">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7D25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BE3D6FD">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16</w:t>
            </w:r>
          </w:p>
        </w:tc>
        <w:tc>
          <w:tcPr>
            <w:tcW w:w="3002" w:type="dxa"/>
            <w:shd w:val="clear" w:color="auto" w:fill="auto"/>
            <w:vAlign w:val="center"/>
          </w:tcPr>
          <w:p w14:paraId="3912D372">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公积金提取办理</w:t>
            </w:r>
          </w:p>
        </w:tc>
        <w:tc>
          <w:tcPr>
            <w:tcW w:w="2005" w:type="dxa"/>
            <w:shd w:val="clear" w:color="auto" w:fill="auto"/>
            <w:vAlign w:val="top"/>
          </w:tcPr>
          <w:p w14:paraId="73DDAD7E">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67131FB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700F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AB24D8C">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17</w:t>
            </w:r>
          </w:p>
        </w:tc>
        <w:tc>
          <w:tcPr>
            <w:tcW w:w="3002" w:type="dxa"/>
            <w:shd w:val="clear" w:color="auto" w:fill="auto"/>
            <w:vAlign w:val="center"/>
          </w:tcPr>
          <w:p w14:paraId="15A20CB7">
            <w:pPr>
              <w:jc w:val="center"/>
              <w:rPr>
                <w:rFonts w:hint="eastAsia" w:ascii="宋体" w:hAnsi="宋体" w:eastAsia="宋体" w:cs="宋体"/>
                <w:kern w:val="2"/>
                <w:sz w:val="21"/>
                <w:szCs w:val="21"/>
                <w:lang w:val="en-US" w:eastAsia="zh-CN" w:bidi="ar-SA"/>
              </w:rPr>
            </w:pPr>
            <w:r>
              <w:rPr>
                <w:rFonts w:hint="eastAsia" w:ascii="宋体" w:hAnsi="宋体" w:eastAsia="宋体"/>
                <w:szCs w:val="21"/>
              </w:rPr>
              <w:t>公积金归集办理</w:t>
            </w:r>
          </w:p>
        </w:tc>
        <w:tc>
          <w:tcPr>
            <w:tcW w:w="2005" w:type="dxa"/>
            <w:shd w:val="clear" w:color="auto" w:fill="auto"/>
            <w:vAlign w:val="top"/>
          </w:tcPr>
          <w:p w14:paraId="76ECF219">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13FC68FC">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6CC3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DCFD781">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18</w:t>
            </w:r>
          </w:p>
        </w:tc>
        <w:tc>
          <w:tcPr>
            <w:tcW w:w="3002" w:type="dxa"/>
            <w:shd w:val="clear" w:color="auto" w:fill="auto"/>
            <w:vAlign w:val="center"/>
          </w:tcPr>
          <w:p w14:paraId="6B4F61AD">
            <w:pPr>
              <w:jc w:val="center"/>
              <w:rPr>
                <w:rFonts w:hint="eastAsia" w:ascii="宋体" w:hAnsi="宋体" w:eastAsia="宋体" w:cs="宋体"/>
                <w:kern w:val="2"/>
                <w:sz w:val="21"/>
                <w:szCs w:val="21"/>
                <w:lang w:val="en-US" w:eastAsia="zh-CN" w:bidi="ar-SA"/>
              </w:rPr>
            </w:pPr>
            <w:r>
              <w:rPr>
                <w:rFonts w:hint="eastAsia" w:ascii="宋体" w:hAnsi="宋体" w:eastAsia="宋体"/>
                <w:szCs w:val="21"/>
              </w:rPr>
              <w:t>房维资金缴存办理</w:t>
            </w:r>
          </w:p>
        </w:tc>
        <w:tc>
          <w:tcPr>
            <w:tcW w:w="2005" w:type="dxa"/>
            <w:shd w:val="clear" w:color="auto" w:fill="auto"/>
            <w:vAlign w:val="top"/>
          </w:tcPr>
          <w:p w14:paraId="43683037">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501BA500">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26D6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7A9755F">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rPr>
              <w:t>1</w:t>
            </w:r>
            <w:r>
              <w:rPr>
                <w:rFonts w:hint="eastAsia" w:cs="Times New Roman" w:asciiTheme="minorEastAsia" w:hAnsiTheme="minorEastAsia"/>
                <w:snapToGrid w:val="0"/>
                <w:kern w:val="0"/>
                <w:sz w:val="24"/>
                <w:szCs w:val="32"/>
                <w:lang w:val="en-US" w:eastAsia="zh-CN"/>
              </w:rPr>
              <w:t>9</w:t>
            </w:r>
          </w:p>
        </w:tc>
        <w:tc>
          <w:tcPr>
            <w:tcW w:w="3002" w:type="dxa"/>
            <w:shd w:val="clear" w:color="auto" w:fill="auto"/>
            <w:vAlign w:val="center"/>
          </w:tcPr>
          <w:p w14:paraId="7EA24363">
            <w:pPr>
              <w:jc w:val="center"/>
              <w:rPr>
                <w:rFonts w:hint="eastAsia" w:ascii="宋体" w:hAnsi="宋体" w:eastAsia="宋体" w:cs="宋体"/>
                <w:kern w:val="2"/>
                <w:sz w:val="21"/>
                <w:szCs w:val="21"/>
                <w:lang w:val="en-US" w:eastAsia="zh-CN" w:bidi="ar-SA"/>
              </w:rPr>
            </w:pPr>
            <w:r>
              <w:rPr>
                <w:rFonts w:hint="eastAsia" w:ascii="宋体" w:hAnsi="宋体" w:eastAsia="宋体"/>
                <w:szCs w:val="21"/>
              </w:rPr>
              <w:t>房维维修项目资料采集及整理</w:t>
            </w:r>
          </w:p>
        </w:tc>
        <w:tc>
          <w:tcPr>
            <w:tcW w:w="2005" w:type="dxa"/>
            <w:vAlign w:val="top"/>
          </w:tcPr>
          <w:p w14:paraId="120C825A">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笔</w:t>
            </w:r>
          </w:p>
        </w:tc>
        <w:tc>
          <w:tcPr>
            <w:tcW w:w="2131" w:type="dxa"/>
            <w:vAlign w:val="top"/>
          </w:tcPr>
          <w:p w14:paraId="3AC39D35">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元/笔</w:t>
            </w:r>
          </w:p>
        </w:tc>
      </w:tr>
      <w:tr w14:paraId="5AC0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7CA2EDAF">
            <w:pPr>
              <w:jc w:val="center"/>
              <w:rPr>
                <w:rFonts w:hint="eastAsia"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rPr>
              <w:t>2</w:t>
            </w:r>
            <w:r>
              <w:rPr>
                <w:rFonts w:hint="eastAsia" w:cs="Times New Roman" w:asciiTheme="minorEastAsia" w:hAnsiTheme="minorEastAsia"/>
                <w:snapToGrid w:val="0"/>
                <w:kern w:val="0"/>
                <w:sz w:val="24"/>
                <w:szCs w:val="32"/>
                <w:lang w:val="en-US" w:eastAsia="zh-CN"/>
              </w:rPr>
              <w:t>0</w:t>
            </w:r>
          </w:p>
        </w:tc>
        <w:tc>
          <w:tcPr>
            <w:tcW w:w="3002" w:type="dxa"/>
            <w:shd w:val="clear" w:color="auto" w:fill="auto"/>
            <w:vAlign w:val="center"/>
          </w:tcPr>
          <w:p w14:paraId="02B2D879">
            <w:pPr>
              <w:jc w:val="center"/>
              <w:rPr>
                <w:rFonts w:hint="eastAsia" w:ascii="宋体" w:hAnsi="宋体" w:eastAsia="彩虹粗仿宋" w:cstheme="minorBidi"/>
                <w:kern w:val="2"/>
                <w:sz w:val="21"/>
                <w:szCs w:val="21"/>
                <w:lang w:val="en-US" w:eastAsia="zh-CN" w:bidi="ar-SA"/>
              </w:rPr>
            </w:pPr>
            <w:r>
              <w:rPr>
                <w:rFonts w:hint="eastAsia" w:ascii="宋体" w:hAnsi="宋体" w:eastAsia="宋体"/>
                <w:szCs w:val="21"/>
              </w:rPr>
              <w:t>房维</w:t>
            </w:r>
            <w:r>
              <w:rPr>
                <w:rFonts w:hint="eastAsia" w:ascii="宋体" w:hAnsi="宋体" w:eastAsia="宋体"/>
                <w:szCs w:val="21"/>
                <w:lang w:val="en-US" w:eastAsia="zh-CN"/>
              </w:rPr>
              <w:t>资金</w:t>
            </w:r>
            <w:r>
              <w:rPr>
                <w:rFonts w:hint="eastAsia" w:ascii="宋体" w:hAnsi="宋体" w:eastAsia="宋体"/>
                <w:szCs w:val="21"/>
              </w:rPr>
              <w:t>支取</w:t>
            </w:r>
            <w:r>
              <w:rPr>
                <w:rFonts w:hint="eastAsia" w:ascii="宋体" w:hAnsi="宋体" w:eastAsia="宋体"/>
                <w:szCs w:val="21"/>
                <w:lang w:val="en-US" w:eastAsia="zh-CN"/>
              </w:rPr>
              <w:t>办理</w:t>
            </w:r>
          </w:p>
        </w:tc>
        <w:tc>
          <w:tcPr>
            <w:tcW w:w="2005" w:type="dxa"/>
            <w:vAlign w:val="top"/>
          </w:tcPr>
          <w:p w14:paraId="1A942CD3">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笔</w:t>
            </w:r>
          </w:p>
        </w:tc>
        <w:tc>
          <w:tcPr>
            <w:tcW w:w="2131" w:type="dxa"/>
            <w:vAlign w:val="top"/>
          </w:tcPr>
          <w:p w14:paraId="049B53EA">
            <w:pPr>
              <w:jc w:val="center"/>
              <w:rPr>
                <w:rFonts w:hint="eastAsia"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元/笔</w:t>
            </w:r>
          </w:p>
        </w:tc>
      </w:tr>
      <w:tr w14:paraId="0E66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3C4A271">
            <w:pPr>
              <w:jc w:val="center"/>
              <w:rPr>
                <w:rFonts w:hint="default" w:cs="Times New Roman" w:asciiTheme="minorEastAsia" w:hAnsi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21</w:t>
            </w:r>
          </w:p>
        </w:tc>
        <w:tc>
          <w:tcPr>
            <w:tcW w:w="3002" w:type="dxa"/>
            <w:shd w:val="clear" w:color="auto" w:fill="auto"/>
            <w:vAlign w:val="center"/>
          </w:tcPr>
          <w:p w14:paraId="0D0E14EC">
            <w:pPr>
              <w:jc w:val="center"/>
              <w:rPr>
                <w:rFonts w:hint="eastAsia" w:asciiTheme="minorHAnsi" w:hAnsiTheme="minorHAnsi" w:eastAsiaTheme="minorEastAsia" w:cstheme="minorBidi"/>
                <w:kern w:val="2"/>
                <w:sz w:val="21"/>
                <w:szCs w:val="22"/>
                <w:lang w:val="en-US" w:eastAsia="zh-CN" w:bidi="ar-SA"/>
              </w:rPr>
            </w:pPr>
            <w:r>
              <w:rPr>
                <w:rFonts w:hint="eastAsia"/>
              </w:rPr>
              <w:t>普惠</w:t>
            </w:r>
            <w:r>
              <w:t>-贷前信息采集</w:t>
            </w:r>
          </w:p>
        </w:tc>
        <w:tc>
          <w:tcPr>
            <w:tcW w:w="2005" w:type="dxa"/>
            <w:shd w:val="clear" w:color="auto" w:fill="auto"/>
            <w:vAlign w:val="top"/>
          </w:tcPr>
          <w:p w14:paraId="7E58FC8F">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1C0EF95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0A12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6FC9F48">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22</w:t>
            </w:r>
          </w:p>
        </w:tc>
        <w:tc>
          <w:tcPr>
            <w:tcW w:w="3002" w:type="dxa"/>
            <w:shd w:val="clear" w:color="auto" w:fill="auto"/>
            <w:vAlign w:val="center"/>
          </w:tcPr>
          <w:p w14:paraId="4D5A32EE">
            <w:pPr>
              <w:jc w:val="center"/>
              <w:rPr>
                <w:rFonts w:hint="eastAsia" w:asciiTheme="minorHAnsi" w:hAnsiTheme="minorHAnsi" w:eastAsiaTheme="minorEastAsia" w:cstheme="minorBidi"/>
                <w:kern w:val="2"/>
                <w:sz w:val="21"/>
                <w:szCs w:val="22"/>
                <w:lang w:val="en-US" w:eastAsia="zh-CN" w:bidi="ar-SA"/>
              </w:rPr>
            </w:pPr>
            <w:r>
              <w:rPr>
                <w:rFonts w:hint="eastAsia"/>
              </w:rPr>
              <w:t>普惠</w:t>
            </w:r>
            <w:r>
              <w:t>-贷后信息采集</w:t>
            </w:r>
          </w:p>
        </w:tc>
        <w:tc>
          <w:tcPr>
            <w:tcW w:w="2005" w:type="dxa"/>
            <w:shd w:val="clear" w:color="auto" w:fill="auto"/>
            <w:vAlign w:val="top"/>
          </w:tcPr>
          <w:p w14:paraId="21B325AD">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0596B702">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4517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AB5C29B">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23</w:t>
            </w:r>
          </w:p>
        </w:tc>
        <w:tc>
          <w:tcPr>
            <w:tcW w:w="3002" w:type="dxa"/>
            <w:shd w:val="clear" w:color="auto" w:fill="auto"/>
            <w:vAlign w:val="center"/>
          </w:tcPr>
          <w:p w14:paraId="4B6BBEB5">
            <w:pPr>
              <w:jc w:val="center"/>
              <w:rPr>
                <w:rFonts w:hint="eastAsia" w:asciiTheme="minorHAnsi" w:hAnsiTheme="minorHAnsi" w:eastAsiaTheme="minorEastAsia" w:cstheme="minorBidi"/>
                <w:kern w:val="2"/>
                <w:sz w:val="21"/>
                <w:szCs w:val="22"/>
                <w:lang w:val="en-US" w:eastAsia="zh-CN" w:bidi="ar-SA"/>
              </w:rPr>
            </w:pPr>
            <w:r>
              <w:rPr>
                <w:rFonts w:hint="eastAsia"/>
              </w:rPr>
              <w:t>普惠</w:t>
            </w:r>
            <w:r>
              <w:t>-资料整理与录入</w:t>
            </w:r>
          </w:p>
        </w:tc>
        <w:tc>
          <w:tcPr>
            <w:tcW w:w="2005" w:type="dxa"/>
            <w:shd w:val="clear" w:color="auto" w:fill="auto"/>
            <w:vAlign w:val="top"/>
          </w:tcPr>
          <w:p w14:paraId="3B24EEA1">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笔</w:t>
            </w:r>
          </w:p>
        </w:tc>
        <w:tc>
          <w:tcPr>
            <w:tcW w:w="2131" w:type="dxa"/>
            <w:shd w:val="clear" w:color="auto" w:fill="auto"/>
            <w:vAlign w:val="top"/>
          </w:tcPr>
          <w:p w14:paraId="678B5459">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元/笔</w:t>
            </w:r>
          </w:p>
        </w:tc>
      </w:tr>
      <w:tr w14:paraId="4B3D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949DAC8">
            <w:pPr>
              <w:jc w:val="center"/>
              <w:rPr>
                <w:rFonts w:hint="default" w:cs="Times New Roman" w:asciiTheme="minorEastAsia" w:hAnsiTheme="minorEastAsia" w:eastAsiaTheme="minorEastAsia"/>
                <w:snapToGrid w:val="0"/>
                <w:kern w:val="0"/>
                <w:sz w:val="24"/>
                <w:szCs w:val="32"/>
                <w:lang w:val="en-US" w:eastAsia="zh-CN"/>
              </w:rPr>
            </w:pPr>
            <w:r>
              <w:rPr>
                <w:rFonts w:hint="eastAsia" w:cs="Times New Roman" w:asciiTheme="minorEastAsia" w:hAnsiTheme="minorEastAsia"/>
                <w:snapToGrid w:val="0"/>
                <w:kern w:val="0"/>
                <w:sz w:val="24"/>
                <w:szCs w:val="32"/>
                <w:lang w:val="en-US" w:eastAsia="zh-CN"/>
              </w:rPr>
              <w:t>24</w:t>
            </w:r>
          </w:p>
        </w:tc>
        <w:tc>
          <w:tcPr>
            <w:tcW w:w="3002" w:type="dxa"/>
            <w:shd w:val="clear" w:color="auto" w:fill="auto"/>
            <w:vAlign w:val="center"/>
          </w:tcPr>
          <w:p w14:paraId="29A80D6B">
            <w:pPr>
              <w:jc w:val="center"/>
              <w:rPr>
                <w:rFonts w:hint="eastAsia" w:asciiTheme="minorHAnsi" w:hAnsiTheme="minorHAnsi" w:eastAsiaTheme="minorEastAsia" w:cstheme="minorBidi"/>
                <w:kern w:val="2"/>
                <w:sz w:val="21"/>
                <w:szCs w:val="22"/>
                <w:lang w:val="en-US" w:eastAsia="zh-CN" w:bidi="ar-SA"/>
              </w:rPr>
            </w:pPr>
            <w:r>
              <w:rPr>
                <w:rFonts w:hint="eastAsia"/>
              </w:rPr>
              <w:t>普惠</w:t>
            </w:r>
            <w:r>
              <w:t>-档案整理与保管</w:t>
            </w:r>
          </w:p>
        </w:tc>
        <w:tc>
          <w:tcPr>
            <w:tcW w:w="2005" w:type="dxa"/>
            <w:shd w:val="clear" w:color="auto" w:fill="auto"/>
            <w:vAlign w:val="top"/>
          </w:tcPr>
          <w:p w14:paraId="6CAB5D38">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页</w:t>
            </w:r>
          </w:p>
        </w:tc>
        <w:tc>
          <w:tcPr>
            <w:tcW w:w="2131" w:type="dxa"/>
            <w:shd w:val="clear" w:color="auto" w:fill="auto"/>
            <w:vAlign w:val="top"/>
          </w:tcPr>
          <w:p w14:paraId="3F85570F">
            <w:pPr>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rPr>
              <w:t>元/页</w:t>
            </w:r>
          </w:p>
        </w:tc>
      </w:tr>
    </w:tbl>
    <w:p w14:paraId="47536D3E">
      <w:pPr>
        <w:keepNext w:val="0"/>
        <w:keepLines w:val="0"/>
        <w:pageBreakBefore w:val="0"/>
        <w:widowControl w:val="0"/>
        <w:kinsoku/>
        <w:wordWrap/>
        <w:overflowPunct/>
        <w:topLinePunct w:val="0"/>
        <w:autoSpaceDE/>
        <w:autoSpaceDN/>
        <w:bidi w:val="0"/>
        <w:spacing w:line="587" w:lineRule="exact"/>
        <w:ind w:firstLine="640" w:firstLineChars="200"/>
        <w:textAlignment w:val="auto"/>
        <w:rPr>
          <w:rFonts w:ascii="彩虹粗仿宋" w:hAnsi="宋体" w:eastAsia="彩虹粗仿宋" w:cs="Times New Roman"/>
          <w:snapToGrid w:val="0"/>
          <w:color w:val="FF0000"/>
          <w:kern w:val="0"/>
          <w:sz w:val="32"/>
          <w:szCs w:val="32"/>
        </w:rPr>
      </w:pPr>
      <w:r>
        <w:rPr>
          <w:rFonts w:hint="eastAsia" w:ascii="彩虹黑体" w:hAnsi="彩虹黑体" w:eastAsia="彩虹黑体" w:cs="彩虹黑体"/>
          <w:b w:val="0"/>
          <w:bCs/>
          <w:snapToGrid w:val="0"/>
          <w:kern w:val="0"/>
          <w:sz w:val="32"/>
          <w:szCs w:val="32"/>
        </w:rPr>
        <w:t>九、其他要求</w:t>
      </w:r>
    </w:p>
    <w:p w14:paraId="1209390D">
      <w:pPr>
        <w:tabs>
          <w:tab w:val="left" w:pos="-3240"/>
        </w:tabs>
        <w:spacing w:line="560" w:lineRule="exact"/>
        <w:ind w:firstLine="643" w:firstLineChars="200"/>
        <w:rPr>
          <w:rFonts w:ascii="彩虹楷体" w:eastAsia="彩虹楷体"/>
          <w:b/>
          <w:bCs/>
          <w:sz w:val="32"/>
          <w:szCs w:val="32"/>
        </w:rPr>
      </w:pPr>
      <w:r>
        <w:rPr>
          <w:rFonts w:hint="eastAsia" w:ascii="彩虹楷体" w:eastAsia="彩虹楷体"/>
          <w:b/>
          <w:bCs/>
          <w:sz w:val="32"/>
          <w:szCs w:val="32"/>
        </w:rPr>
        <w:t>（一）项目合作</w:t>
      </w:r>
      <w:r>
        <w:rPr>
          <w:rFonts w:ascii="彩虹楷体" w:eastAsia="彩虹楷体"/>
          <w:b/>
          <w:bCs/>
          <w:sz w:val="32"/>
          <w:szCs w:val="32"/>
        </w:rPr>
        <w:t>期限</w:t>
      </w:r>
      <w:r>
        <w:rPr>
          <w:rFonts w:hint="eastAsia" w:ascii="彩虹楷体" w:eastAsia="彩虹楷体"/>
          <w:b/>
          <w:bCs/>
          <w:sz w:val="32"/>
          <w:szCs w:val="32"/>
        </w:rPr>
        <w:t>及</w:t>
      </w:r>
      <w:r>
        <w:rPr>
          <w:rFonts w:ascii="彩虹楷体" w:eastAsia="彩虹楷体"/>
          <w:b/>
          <w:bCs/>
          <w:sz w:val="32"/>
          <w:szCs w:val="32"/>
        </w:rPr>
        <w:t>重大事项变更说明</w:t>
      </w:r>
    </w:p>
    <w:p w14:paraId="1A072C0D">
      <w:pPr>
        <w:tabs>
          <w:tab w:val="left" w:pos="-3240"/>
        </w:tabs>
        <w:spacing w:line="560" w:lineRule="exact"/>
        <w:ind w:firstLine="640" w:firstLineChars="200"/>
        <w:rPr>
          <w:rFonts w:ascii="彩虹粗仿宋" w:eastAsia="彩虹粗仿宋"/>
          <w:bCs/>
          <w:sz w:val="32"/>
          <w:szCs w:val="32"/>
        </w:rPr>
      </w:pPr>
      <w:r>
        <w:rPr>
          <w:rFonts w:hint="eastAsia" w:ascii="彩虹粗仿宋" w:eastAsia="彩虹粗仿宋"/>
          <w:bCs/>
          <w:sz w:val="32"/>
          <w:szCs w:val="32"/>
        </w:rPr>
        <w:t>本次项目</w:t>
      </w:r>
      <w:r>
        <w:rPr>
          <w:rFonts w:ascii="彩虹粗仿宋" w:eastAsia="彩虹粗仿宋"/>
          <w:bCs/>
          <w:sz w:val="32"/>
          <w:szCs w:val="32"/>
        </w:rPr>
        <w:t>合作</w:t>
      </w:r>
      <w:r>
        <w:rPr>
          <w:rFonts w:hint="eastAsia" w:ascii="彩虹粗仿宋" w:eastAsia="彩虹粗仿宋"/>
          <w:bCs/>
          <w:sz w:val="32"/>
          <w:szCs w:val="32"/>
        </w:rPr>
        <w:t>开始时间预计为从合同签订之日起，服务期限</w:t>
      </w:r>
      <w:r>
        <w:rPr>
          <w:rFonts w:hint="eastAsia" w:ascii="彩虹粗仿宋" w:eastAsia="彩虹粗仿宋"/>
          <w:bCs/>
          <w:sz w:val="32"/>
          <w:szCs w:val="32"/>
          <w:lang w:val="en-US" w:eastAsia="zh-CN"/>
        </w:rPr>
        <w:t>为两年</w:t>
      </w:r>
      <w:r>
        <w:rPr>
          <w:rFonts w:hint="eastAsia" w:ascii="彩虹粗仿宋" w:eastAsia="彩虹粗仿宋"/>
          <w:bCs/>
          <w:sz w:val="32"/>
          <w:szCs w:val="32"/>
        </w:rPr>
        <w:t>。</w:t>
      </w:r>
    </w:p>
    <w:p w14:paraId="6E556336">
      <w:pPr>
        <w:tabs>
          <w:tab w:val="left" w:pos="-3240"/>
        </w:tabs>
        <w:spacing w:line="560" w:lineRule="exact"/>
        <w:ind w:firstLine="640" w:firstLineChars="200"/>
        <w:rPr>
          <w:rFonts w:ascii="彩虹粗仿宋" w:eastAsia="彩虹粗仿宋"/>
          <w:bCs/>
          <w:sz w:val="32"/>
          <w:szCs w:val="32"/>
          <w:highlight w:val="yellow"/>
        </w:rPr>
      </w:pPr>
      <w:r>
        <w:rPr>
          <w:rFonts w:hint="eastAsia" w:ascii="彩虹粗仿宋" w:eastAsia="彩虹粗仿宋"/>
          <w:bCs/>
          <w:sz w:val="32"/>
          <w:szCs w:val="32"/>
        </w:rPr>
        <w:t>在服务期限内，如建设银行相关政策发生重大变化，需要停止本外包服务的，</w:t>
      </w:r>
      <w:r>
        <w:rPr>
          <w:rFonts w:hint="eastAsia" w:ascii="彩虹粗仿宋" w:eastAsia="彩虹粗仿宋"/>
          <w:bCs/>
          <w:sz w:val="32"/>
          <w:szCs w:val="32"/>
          <w:highlight w:val="none"/>
        </w:rPr>
        <w:t>我方有权提前解除或部分解除本合同且不视为我方违约，解除合同前</w:t>
      </w:r>
      <w:r>
        <w:rPr>
          <w:rFonts w:ascii="彩虹粗仿宋" w:eastAsia="彩虹粗仿宋"/>
          <w:bCs/>
          <w:sz w:val="32"/>
          <w:szCs w:val="32"/>
          <w:highlight w:val="none"/>
        </w:rPr>
        <w:t>我方将</w:t>
      </w:r>
      <w:r>
        <w:rPr>
          <w:rFonts w:hint="eastAsia" w:ascii="彩虹粗仿宋" w:eastAsia="彩虹粗仿宋"/>
          <w:bCs/>
          <w:sz w:val="32"/>
          <w:szCs w:val="32"/>
          <w:highlight w:val="none"/>
        </w:rPr>
        <w:t>提前</w:t>
      </w:r>
      <w:r>
        <w:rPr>
          <w:rFonts w:hint="eastAsia" w:ascii="彩虹粗仿宋" w:eastAsia="彩虹粗仿宋"/>
          <w:bCs/>
          <w:sz w:val="32"/>
          <w:szCs w:val="32"/>
          <w:highlight w:val="none"/>
          <w:lang w:val="en-US" w:eastAsia="zh-CN"/>
        </w:rPr>
        <w:t>30</w:t>
      </w:r>
      <w:r>
        <w:rPr>
          <w:rFonts w:hint="eastAsia" w:ascii="彩虹粗仿宋" w:eastAsia="彩虹粗仿宋"/>
          <w:bCs/>
          <w:sz w:val="32"/>
          <w:szCs w:val="32"/>
          <w:highlight w:val="none"/>
        </w:rPr>
        <w:t>天书面通知入选中标人，我方应根据入选中标人已经付出的工作量向其据实支付服务费用。</w:t>
      </w:r>
    </w:p>
    <w:p w14:paraId="79F4811F">
      <w:pPr>
        <w:tabs>
          <w:tab w:val="left" w:pos="720"/>
          <w:tab w:val="left" w:pos="755"/>
        </w:tabs>
        <w:spacing w:line="560" w:lineRule="exact"/>
        <w:ind w:firstLine="643" w:firstLineChars="200"/>
        <w:rPr>
          <w:rFonts w:ascii="彩虹楷体" w:eastAsia="彩虹楷体"/>
          <w:b/>
          <w:bCs/>
          <w:sz w:val="32"/>
          <w:szCs w:val="32"/>
        </w:rPr>
      </w:pPr>
      <w:r>
        <w:rPr>
          <w:rFonts w:hint="eastAsia" w:ascii="彩虹楷体" w:eastAsia="彩虹楷体"/>
          <w:b/>
          <w:bCs/>
          <w:sz w:val="32"/>
          <w:szCs w:val="32"/>
        </w:rPr>
        <w:t>（二）外包人员工资保障</w:t>
      </w:r>
    </w:p>
    <w:p w14:paraId="02990E62">
      <w:pPr>
        <w:tabs>
          <w:tab w:val="left" w:pos="720"/>
          <w:tab w:val="left" w:pos="755"/>
        </w:tabs>
        <w:spacing w:line="560" w:lineRule="exact"/>
        <w:ind w:firstLine="640" w:firstLineChars="200"/>
        <w:rPr>
          <w:rFonts w:ascii="彩虹粗仿宋" w:eastAsia="彩虹粗仿宋"/>
          <w:bCs/>
          <w:sz w:val="32"/>
          <w:szCs w:val="32"/>
        </w:rPr>
      </w:pPr>
      <w:r>
        <w:rPr>
          <w:rFonts w:hint="eastAsia" w:ascii="彩虹粗仿宋" w:eastAsia="彩虹粗仿宋"/>
          <w:bCs/>
          <w:sz w:val="32"/>
          <w:szCs w:val="32"/>
        </w:rPr>
        <w:t>合作期间内中标人应承诺按月发放外包人员的工资费用，不应受我行与其约定的按季付款频次而耽误外包人员的工资发放，且对外包人员发放工资时必须通过我行代发系统发放外包人员工资。</w:t>
      </w:r>
    </w:p>
    <w:p w14:paraId="53FC92BE">
      <w:pPr>
        <w:adjustRightInd w:val="0"/>
        <w:snapToGrid w:val="0"/>
        <w:spacing w:line="560" w:lineRule="exact"/>
        <w:ind w:firstLine="643" w:firstLineChars="200"/>
        <w:rPr>
          <w:rFonts w:ascii="彩虹楷体" w:eastAsia="彩虹楷体"/>
          <w:b/>
          <w:bCs/>
          <w:sz w:val="32"/>
          <w:szCs w:val="32"/>
        </w:rPr>
      </w:pPr>
      <w:r>
        <w:rPr>
          <w:rFonts w:hint="eastAsia" w:ascii="彩虹楷体" w:eastAsia="彩虹楷体"/>
          <w:b/>
          <w:bCs/>
          <w:sz w:val="32"/>
          <w:szCs w:val="32"/>
        </w:rPr>
        <w:t>（</w:t>
      </w:r>
      <w:r>
        <w:rPr>
          <w:rFonts w:hint="eastAsia" w:ascii="彩虹楷体" w:eastAsia="彩虹楷体"/>
          <w:b/>
          <w:bCs/>
          <w:sz w:val="32"/>
          <w:szCs w:val="32"/>
          <w:lang w:val="en-US" w:eastAsia="zh-CN"/>
        </w:rPr>
        <w:t>三</w:t>
      </w:r>
      <w:r>
        <w:rPr>
          <w:rFonts w:hint="eastAsia" w:ascii="彩虹楷体" w:eastAsia="彩虹楷体"/>
          <w:b/>
          <w:bCs/>
          <w:sz w:val="32"/>
          <w:szCs w:val="32"/>
        </w:rPr>
        <w:t>）分包及</w:t>
      </w:r>
      <w:r>
        <w:rPr>
          <w:rFonts w:ascii="彩虹楷体" w:eastAsia="彩虹楷体"/>
          <w:b/>
          <w:bCs/>
          <w:sz w:val="32"/>
          <w:szCs w:val="32"/>
        </w:rPr>
        <w:t>转包要求</w:t>
      </w:r>
    </w:p>
    <w:p w14:paraId="203CD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彩虹粗仿宋" w:eastAsia="彩虹粗仿宋"/>
          <w:bCs/>
          <w:sz w:val="32"/>
          <w:szCs w:val="32"/>
          <w:lang w:eastAsia="zh-CN"/>
        </w:rPr>
      </w:pPr>
      <w:r>
        <w:rPr>
          <w:rFonts w:hint="eastAsia" w:ascii="彩虹粗仿宋" w:eastAsia="彩虹粗仿宋"/>
          <w:bCs/>
          <w:sz w:val="32"/>
          <w:szCs w:val="32"/>
        </w:rPr>
        <w:t>本项目不允许分包</w:t>
      </w:r>
      <w:r>
        <w:rPr>
          <w:rFonts w:ascii="彩虹粗仿宋" w:eastAsia="彩虹粗仿宋"/>
          <w:bCs/>
          <w:sz w:val="32"/>
          <w:szCs w:val="32"/>
        </w:rPr>
        <w:t>及转包。</w:t>
      </w:r>
      <w:r>
        <w:rPr>
          <w:rFonts w:hint="eastAsia" w:ascii="彩虹粗仿宋" w:eastAsia="彩虹粗仿宋"/>
          <w:bCs/>
          <w:sz w:val="32"/>
          <w:szCs w:val="32"/>
          <w:lang w:eastAsia="zh-CN"/>
        </w:rPr>
        <w:t>不允许通过签订人事服务代理协议等方式交由第三方代为发放外包人员工资、社保等。如出现此类情况我行可以单方面终止合作协议，投标人同时承担由此所带来的一切经济损失。</w:t>
      </w:r>
    </w:p>
    <w:p w14:paraId="7D5D9447">
      <w:pPr>
        <w:adjustRightInd w:val="0"/>
        <w:snapToGrid w:val="0"/>
        <w:spacing w:line="560" w:lineRule="exact"/>
        <w:ind w:firstLine="643" w:firstLineChars="200"/>
        <w:rPr>
          <w:rFonts w:hint="default" w:ascii="彩虹楷体" w:eastAsia="彩虹楷体"/>
          <w:b/>
          <w:bCs/>
          <w:sz w:val="32"/>
          <w:szCs w:val="32"/>
          <w:lang w:val="en-US" w:eastAsia="zh-CN"/>
        </w:rPr>
      </w:pPr>
      <w:r>
        <w:rPr>
          <w:rFonts w:hint="eastAsia" w:ascii="彩虹楷体" w:eastAsia="彩虹楷体"/>
          <w:b/>
          <w:bCs/>
          <w:sz w:val="32"/>
          <w:szCs w:val="32"/>
          <w:lang w:val="en-US" w:eastAsia="zh-CN"/>
        </w:rPr>
        <w:t>（四）管理及技术要求</w:t>
      </w:r>
    </w:p>
    <w:p w14:paraId="001059A3">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1.</w:t>
      </w:r>
      <w:r>
        <w:rPr>
          <w:rFonts w:hint="eastAsia" w:ascii="彩虹粗仿宋" w:hAnsi="宋体" w:eastAsia="彩虹粗仿宋" w:cs="Times New Roman"/>
          <w:snapToGrid w:val="0"/>
          <w:kern w:val="0"/>
          <w:sz w:val="32"/>
          <w:szCs w:val="32"/>
          <w:highlight w:val="none"/>
        </w:rPr>
        <w:t>具备完善的内控管理机制和管理流程及监督检查机制，能对可能产生的突发事件进行分析并制定应急预案，包括人员大规模异动、业务高峰、系统故障、业务临时变更等，遇突发事件能够快速响应等良好的风险控制能力。</w:t>
      </w:r>
    </w:p>
    <w:p w14:paraId="33DF71F7">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2.</w:t>
      </w:r>
      <w:r>
        <w:rPr>
          <w:rFonts w:hint="eastAsia" w:ascii="彩虹粗仿宋" w:hAnsi="宋体" w:eastAsia="彩虹粗仿宋" w:cs="Times New Roman"/>
          <w:snapToGrid w:val="0"/>
          <w:kern w:val="0"/>
          <w:sz w:val="32"/>
          <w:szCs w:val="32"/>
          <w:highlight w:val="none"/>
        </w:rPr>
        <w:t>具备成熟的人员管理机制，包括保密管理、安全培训，以及员工离职有关制度、即员工离职系统权限回收流程，并及时清理用户、终止信息系统访问权限，收回各种实物认证凭证及全部信息资产。</w:t>
      </w:r>
    </w:p>
    <w:p w14:paraId="610482BE">
      <w:pPr>
        <w:keepNext w:val="0"/>
        <w:keepLines w:val="0"/>
        <w:pageBreakBefore w:val="0"/>
        <w:widowControl w:val="0"/>
        <w:kinsoku/>
        <w:wordWrap/>
        <w:overflowPunct/>
        <w:topLinePunct w:val="0"/>
        <w:autoSpaceDE/>
        <w:autoSpaceDN/>
        <w:bidi w:val="0"/>
        <w:spacing w:line="587" w:lineRule="exact"/>
        <w:ind w:left="1" w:firstLine="640" w:firstLineChars="200"/>
        <w:textAlignment w:val="auto"/>
        <w:rPr>
          <w:rFonts w:hint="eastAsia"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3.</w:t>
      </w:r>
      <w:r>
        <w:rPr>
          <w:rFonts w:hint="eastAsia" w:ascii="彩虹粗仿宋" w:hAnsi="宋体" w:eastAsia="彩虹粗仿宋" w:cs="Times New Roman"/>
          <w:snapToGrid w:val="0"/>
          <w:kern w:val="0"/>
          <w:sz w:val="32"/>
          <w:szCs w:val="32"/>
          <w:highlight w:val="none"/>
        </w:rPr>
        <w:t>技术及经验水平符合建设银行外包的要求，其从业人员符合岗位要求和任职条件，并具有相应的专业技术</w:t>
      </w:r>
      <w:r>
        <w:rPr>
          <w:rFonts w:hint="eastAsia" w:ascii="彩虹粗仿宋" w:hAnsi="宋体" w:eastAsia="彩虹粗仿宋" w:cs="Times New Roman"/>
          <w:snapToGrid w:val="0"/>
          <w:kern w:val="0"/>
          <w:sz w:val="32"/>
          <w:szCs w:val="32"/>
          <w:highlight w:val="none"/>
          <w:lang w:val="en-US" w:eastAsia="zh-CN"/>
        </w:rPr>
        <w:t>能力</w:t>
      </w:r>
      <w:r>
        <w:rPr>
          <w:rFonts w:hint="eastAsia" w:ascii="彩虹粗仿宋" w:hAnsi="宋体" w:eastAsia="彩虹粗仿宋" w:cs="Times New Roman"/>
          <w:snapToGrid w:val="0"/>
          <w:kern w:val="0"/>
          <w:sz w:val="32"/>
          <w:szCs w:val="32"/>
          <w:highlight w:val="none"/>
          <w:lang w:eastAsia="zh-CN"/>
        </w:rPr>
        <w:t>。</w:t>
      </w:r>
    </w:p>
    <w:p w14:paraId="51EA92EE">
      <w:pPr>
        <w:keepNext w:val="0"/>
        <w:keepLines w:val="0"/>
        <w:pageBreakBefore w:val="0"/>
        <w:widowControl w:val="0"/>
        <w:kinsoku/>
        <w:wordWrap/>
        <w:overflowPunct/>
        <w:topLinePunct w:val="0"/>
        <w:autoSpaceDE/>
        <w:autoSpaceDN/>
        <w:bidi w:val="0"/>
        <w:spacing w:line="587" w:lineRule="exact"/>
        <w:ind w:firstLine="420" w:firstLineChars="200"/>
        <w:textAlignment w:val="auto"/>
        <w:rPr>
          <w:rFonts w:ascii="Calibri" w:hAnsi="Calibri" w:eastAsia="宋体" w:cs="黑体"/>
        </w:rPr>
      </w:pPr>
    </w:p>
    <w:p w14:paraId="156157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auto"/>
    <w:pitch w:val="default"/>
    <w:sig w:usb0="00000001" w:usb1="080E0000" w:usb2="00000000" w:usb3="00000000" w:csb0="00040000" w:csb1="00000000"/>
  </w:font>
  <w:font w:name="彩虹楷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16.195.55:/pshare/inner/LJC/file/file/getFileStreamById"/>
  </w:docVars>
  <w:rsids>
    <w:rsidRoot w:val="00F35958"/>
    <w:rsid w:val="00095762"/>
    <w:rsid w:val="000D4373"/>
    <w:rsid w:val="002E0BC2"/>
    <w:rsid w:val="004105E8"/>
    <w:rsid w:val="00630478"/>
    <w:rsid w:val="00634918"/>
    <w:rsid w:val="00703B86"/>
    <w:rsid w:val="007D056D"/>
    <w:rsid w:val="00854E2D"/>
    <w:rsid w:val="00930D91"/>
    <w:rsid w:val="00C55078"/>
    <w:rsid w:val="00F35958"/>
    <w:rsid w:val="00FF56D0"/>
    <w:rsid w:val="1A82225B"/>
    <w:rsid w:val="39840B36"/>
    <w:rsid w:val="583C2DC7"/>
    <w:rsid w:val="58C70255"/>
    <w:rsid w:val="63B53646"/>
    <w:rsid w:val="65184C99"/>
    <w:rsid w:val="68E76A9C"/>
    <w:rsid w:val="754B4532"/>
    <w:rsid w:val="76DE3792"/>
    <w:rsid w:val="79FB5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unhideWhenUsed/>
    <w:qFormat/>
    <w:uiPriority w:val="99"/>
    <w:rPr>
      <w:rFonts w:ascii="Times New Roman" w:hAnsi="Times New Roman" w:cs="Times New Roman" w:eastAsiaTheme="minorEastAsia"/>
      <w:kern w:val="0"/>
      <w:sz w:val="20"/>
      <w:szCs w:val="20"/>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otnote reference"/>
    <w:semiHidden/>
    <w:unhideWhenUsed/>
    <w:qFormat/>
    <w:uiPriority w:val="99"/>
    <w:rPr>
      <w:vertAlign w:val="superscript"/>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85</Words>
  <Characters>487</Characters>
  <Lines>4</Lines>
  <Paragraphs>1</Paragraphs>
  <TotalTime>1</TotalTime>
  <ScaleCrop>false</ScaleCrop>
  <LinksUpToDate>false</LinksUpToDate>
  <CharactersWithSpaces>571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2026-05-27T16:20:00Z</dcterms:created>
  <dc:creator>Apache POI</dc:creator>
  <cp:lastModifiedBy>区分行房金部</cp:lastModifiedBy>
  <dcterms:modified xsi:type="dcterms:W3CDTF">2026-06-03T10:52:49Z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E7E52FC80CF44BD68FD20AC9B888A099_13</vt:lpwstr>
  </property>
</Properties>
</file>