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7" w:lineRule="exact"/>
        <w:ind w:left="2200" w:hanging="2200" w:hangingChars="500"/>
        <w:jc w:val="center"/>
        <w:rPr>
          <w:b/>
          <w:bCs/>
          <w:color w:val="auto"/>
          <w:lang w:eastAsia="zh-CN"/>
        </w:rPr>
      </w:pPr>
      <w:bookmarkStart w:id="0" w:name="_GoBack"/>
      <w:r>
        <w:rPr>
          <w:rFonts w:hint="eastAsia" w:ascii="彩虹小标宋" w:eastAsia="彩虹小标宋"/>
          <w:color w:val="auto"/>
          <w:sz w:val="44"/>
          <w:szCs w:val="44"/>
          <w:lang w:eastAsia="zh-CN"/>
        </w:rPr>
        <w:t>区分行</w:t>
      </w:r>
      <w:r>
        <w:rPr>
          <w:rFonts w:ascii="彩虹小标宋" w:eastAsia="彩虹小标宋"/>
          <w:color w:val="auto"/>
          <w:sz w:val="44"/>
          <w:szCs w:val="44"/>
          <w:lang w:eastAsia="zh-CN"/>
        </w:rPr>
        <w:t>本部大楼</w:t>
      </w:r>
      <w:r>
        <w:rPr>
          <w:rFonts w:hint="eastAsia" w:ascii="彩虹小标宋" w:eastAsia="彩虹小标宋"/>
          <w:color w:val="auto"/>
          <w:sz w:val="44"/>
          <w:szCs w:val="44"/>
          <w:lang w:eastAsia="zh-CN"/>
        </w:rPr>
        <w:t>框架</w:t>
      </w:r>
      <w:r>
        <w:rPr>
          <w:rFonts w:ascii="彩虹小标宋" w:eastAsia="彩虹小标宋"/>
          <w:color w:val="auto"/>
          <w:sz w:val="44"/>
          <w:szCs w:val="44"/>
          <w:lang w:eastAsia="zh-CN"/>
        </w:rPr>
        <w:t>断路器</w:t>
      </w:r>
      <w:r>
        <w:rPr>
          <w:rFonts w:hint="eastAsia" w:ascii="彩虹小标宋" w:eastAsia="彩虹小标宋"/>
          <w:color w:val="auto"/>
          <w:sz w:val="44"/>
          <w:szCs w:val="44"/>
          <w:lang w:eastAsia="zh-CN"/>
        </w:rPr>
        <w:t>更换采购</w:t>
      </w:r>
      <w:bookmarkEnd w:id="0"/>
      <w:r>
        <w:rPr>
          <w:rFonts w:hint="eastAsia" w:ascii="彩虹小标宋" w:eastAsia="彩虹小标宋"/>
          <w:color w:val="auto"/>
          <w:sz w:val="44"/>
          <w:szCs w:val="44"/>
          <w:lang w:eastAsia="zh-CN"/>
        </w:rPr>
        <w:t>需求</w:t>
      </w:r>
    </w:p>
    <w:p>
      <w:pPr>
        <w:pStyle w:val="3"/>
        <w:spacing w:line="587" w:lineRule="exact"/>
        <w:ind w:firstLine="642" w:firstLineChars="200"/>
        <w:jc w:val="both"/>
        <w:rPr>
          <w:rFonts w:ascii="彩虹粗仿宋" w:eastAsia="彩虹粗仿宋"/>
          <w:b/>
          <w:bCs/>
          <w:color w:val="auto"/>
          <w:sz w:val="32"/>
          <w:szCs w:val="32"/>
          <w:lang w:eastAsia="zh-CN"/>
        </w:rPr>
      </w:pP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一 、项目概况</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（一）项目综述</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1.</w:t>
      </w:r>
      <w:r>
        <w:rPr>
          <w:rFonts w:hint="eastAsia" w:ascii="彩虹粗仿宋" w:eastAsia="彩虹粗仿宋"/>
          <w:color w:val="auto"/>
          <w:sz w:val="32"/>
          <w:szCs w:val="32"/>
          <w:lang w:eastAsia="zh-CN"/>
        </w:rPr>
        <w:t xml:space="preserve">项目名称：区分行本部大楼框架断路器更换工程 </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2.</w:t>
      </w:r>
      <w:r>
        <w:rPr>
          <w:rFonts w:hint="eastAsia" w:ascii="彩虹粗仿宋" w:eastAsia="彩虹粗仿宋"/>
          <w:color w:val="auto"/>
          <w:sz w:val="32"/>
          <w:szCs w:val="32"/>
          <w:lang w:eastAsia="zh-CN"/>
        </w:rPr>
        <w:t>项目地点：南宁市民族大道92号建行大厦</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3.</w:t>
      </w:r>
      <w:r>
        <w:rPr>
          <w:rFonts w:hint="eastAsia" w:ascii="彩虹粗仿宋" w:eastAsia="彩虹粗仿宋"/>
          <w:color w:val="auto"/>
          <w:sz w:val="32"/>
          <w:szCs w:val="32"/>
          <w:lang w:eastAsia="zh-CN"/>
        </w:rPr>
        <w:t>项目概述：建行广西区分行本部大楼位于广西南宁市民族大道92号，于1999年竣工，2000年1月投入使用，钢筋混凝土框架剪力墙结构，建筑面积为46426.96平方米（地上28层，地下2层）。</w:t>
      </w:r>
      <w:r>
        <w:rPr>
          <w:rFonts w:hint="eastAsia" w:ascii="彩虹粗仿宋" w:eastAsia="彩虹粗仿宋" w:hAnsiTheme="minorEastAsia" w:cstheme="minorEastAsia"/>
          <w:color w:val="auto"/>
          <w:sz w:val="32"/>
          <w:szCs w:val="32"/>
          <w:lang w:eastAsia="zh-CN"/>
        </w:rPr>
        <w:t>本部大楼配电间低压柜的框架断路器原为ABB品牌的Megamax F系列，现计划更换为ABB品牌的Emax2 DR易替产品，更换总量约为2</w:t>
      </w:r>
      <w:r>
        <w:rPr>
          <w:rFonts w:ascii="彩虹粗仿宋" w:eastAsia="彩虹粗仿宋" w:hAnsiTheme="minorEastAsia" w:cstheme="minorEastAsia"/>
          <w:color w:val="auto"/>
          <w:sz w:val="32"/>
          <w:szCs w:val="32"/>
          <w:lang w:eastAsia="zh-CN"/>
        </w:rPr>
        <w:t>6</w:t>
      </w:r>
      <w:r>
        <w:rPr>
          <w:rFonts w:hint="eastAsia" w:ascii="彩虹粗仿宋" w:eastAsia="彩虹粗仿宋" w:hAnsiTheme="minorEastAsia" w:cstheme="minorEastAsia"/>
          <w:color w:val="auto"/>
          <w:sz w:val="32"/>
          <w:szCs w:val="32"/>
          <w:lang w:eastAsia="zh-CN"/>
        </w:rPr>
        <w:t>个（其中，确定本次更换为2</w:t>
      </w:r>
      <w:r>
        <w:rPr>
          <w:rFonts w:ascii="彩虹粗仿宋" w:eastAsia="彩虹粗仿宋" w:hAnsiTheme="minorEastAsia" w:cstheme="minorEastAsia"/>
          <w:color w:val="auto"/>
          <w:sz w:val="32"/>
          <w:szCs w:val="32"/>
          <w:lang w:eastAsia="zh-CN"/>
        </w:rPr>
        <w:t>5</w:t>
      </w:r>
      <w:r>
        <w:rPr>
          <w:rFonts w:hint="eastAsia" w:ascii="彩虹粗仿宋" w:eastAsia="彩虹粗仿宋" w:hAnsiTheme="minorEastAsia" w:cstheme="minorEastAsia"/>
          <w:color w:val="auto"/>
          <w:sz w:val="32"/>
          <w:szCs w:val="32"/>
          <w:lang w:eastAsia="zh-CN"/>
        </w:rPr>
        <w:t>个；考虑不可预见情况暂列1个，最终按实结算）。</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（二）项目目标要求</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1</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工    期：120日历天（含订货90天、运输、安装、调试等）</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2</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质量目标：合格</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3</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施工及设计要求：本次框架断路器更换工程遵循安全可靠要求，主要技术标准包括但不限于：</w:t>
      </w:r>
    </w:p>
    <w:p>
      <w:pPr>
        <w:pStyle w:val="15"/>
        <w:widowControl w:val="0"/>
        <w:numPr>
          <w:ilvl w:val="0"/>
          <w:numId w:val="1"/>
        </w:numPr>
        <w:spacing w:line="587" w:lineRule="exact"/>
        <w:ind w:left="0" w:firstLine="640"/>
        <w:jc w:val="both"/>
        <w:rPr>
          <w:rFonts w:ascii="彩虹粗仿宋" w:hAnsi="宋体" w:eastAsia="彩虹粗仿宋" w:cs="宋体"/>
          <w:color w:val="auto"/>
          <w:sz w:val="32"/>
          <w:szCs w:val="32"/>
          <w:lang w:eastAsia="zh-CN"/>
        </w:rPr>
      </w:pPr>
      <w:r>
        <w:rPr>
          <w:rFonts w:hint="eastAsia" w:ascii="彩虹粗仿宋" w:hAnsi="宋体" w:eastAsia="彩虹粗仿宋" w:cs="宋体"/>
          <w:color w:val="auto"/>
          <w:sz w:val="32"/>
          <w:szCs w:val="32"/>
          <w:lang w:eastAsia="zh-CN"/>
        </w:rPr>
        <w:t>ABB电气产品服务手册</w:t>
      </w:r>
    </w:p>
    <w:p>
      <w:pPr>
        <w:pStyle w:val="15"/>
        <w:widowControl w:val="0"/>
        <w:numPr>
          <w:ilvl w:val="0"/>
          <w:numId w:val="1"/>
        </w:numPr>
        <w:spacing w:line="587" w:lineRule="exact"/>
        <w:ind w:left="0" w:firstLine="640"/>
        <w:jc w:val="both"/>
        <w:rPr>
          <w:rFonts w:ascii="彩虹粗仿宋" w:hAnsi="宋体" w:eastAsia="彩虹粗仿宋" w:cs="宋体"/>
          <w:color w:val="auto"/>
          <w:sz w:val="32"/>
          <w:szCs w:val="32"/>
          <w:lang w:eastAsia="zh-CN"/>
        </w:rPr>
      </w:pPr>
      <w:r>
        <w:rPr>
          <w:rFonts w:hint="eastAsia" w:ascii="彩虹粗仿宋" w:hAnsi="宋体" w:eastAsia="彩虹粗仿宋" w:cs="宋体"/>
          <w:color w:val="auto"/>
          <w:sz w:val="32"/>
          <w:szCs w:val="32"/>
          <w:lang w:eastAsia="zh-CN"/>
        </w:rPr>
        <w:t>GB7251《低压开关成套设备》、GB7251-1~5《低压开关成套设备》</w:t>
      </w:r>
    </w:p>
    <w:p>
      <w:pPr>
        <w:pStyle w:val="15"/>
        <w:widowControl w:val="0"/>
        <w:numPr>
          <w:ilvl w:val="0"/>
          <w:numId w:val="1"/>
        </w:numPr>
        <w:spacing w:line="587" w:lineRule="exact"/>
        <w:ind w:left="0" w:firstLine="640"/>
        <w:jc w:val="both"/>
        <w:rPr>
          <w:rFonts w:ascii="彩虹粗仿宋" w:hAnsi="宋体" w:eastAsia="彩虹粗仿宋" w:cs="宋体"/>
          <w:color w:val="auto"/>
          <w:sz w:val="32"/>
          <w:szCs w:val="32"/>
          <w:lang w:eastAsia="zh-CN"/>
        </w:rPr>
      </w:pPr>
      <w:r>
        <w:rPr>
          <w:rFonts w:hint="eastAsia" w:ascii="彩虹粗仿宋" w:hAnsi="宋体" w:eastAsia="彩虹粗仿宋" w:cs="宋体"/>
          <w:color w:val="auto"/>
          <w:sz w:val="32"/>
          <w:szCs w:val="32"/>
          <w:lang w:eastAsia="zh-CN"/>
        </w:rPr>
        <w:t>GB14048.2：低压开关设备及控制设备第2部分低压断路器、GB14048.7、8《低压开关设备和控制设备》</w:t>
      </w:r>
    </w:p>
    <w:p>
      <w:pPr>
        <w:pStyle w:val="15"/>
        <w:widowControl w:val="0"/>
        <w:numPr>
          <w:ilvl w:val="0"/>
          <w:numId w:val="1"/>
        </w:numPr>
        <w:spacing w:line="587" w:lineRule="exact"/>
        <w:ind w:left="0" w:firstLine="640"/>
        <w:jc w:val="both"/>
        <w:rPr>
          <w:rFonts w:ascii="彩虹粗仿宋" w:hAnsi="宋体" w:eastAsia="彩虹粗仿宋" w:cs="宋体"/>
          <w:color w:val="auto"/>
          <w:sz w:val="32"/>
          <w:szCs w:val="32"/>
          <w:lang w:eastAsia="zh-CN"/>
        </w:rPr>
      </w:pPr>
      <w:r>
        <w:rPr>
          <w:rFonts w:hint="eastAsia" w:ascii="彩虹粗仿宋" w:hAnsi="宋体" w:eastAsia="彩虹粗仿宋" w:cs="宋体"/>
          <w:color w:val="auto"/>
          <w:sz w:val="32"/>
          <w:szCs w:val="32"/>
          <w:lang w:eastAsia="zh-CN"/>
        </w:rPr>
        <w:t>GB／T14048.9《低压开关设备和控制设备》</w:t>
      </w:r>
    </w:p>
    <w:p>
      <w:pPr>
        <w:pStyle w:val="15"/>
        <w:widowControl w:val="0"/>
        <w:numPr>
          <w:ilvl w:val="0"/>
          <w:numId w:val="1"/>
        </w:numPr>
        <w:spacing w:line="587" w:lineRule="exact"/>
        <w:ind w:left="0" w:firstLine="640"/>
        <w:jc w:val="both"/>
        <w:rPr>
          <w:rFonts w:ascii="彩虹粗仿宋" w:hAnsi="宋体" w:eastAsia="彩虹粗仿宋" w:cs="宋体"/>
          <w:color w:val="auto"/>
          <w:sz w:val="32"/>
          <w:szCs w:val="32"/>
          <w:lang w:eastAsia="zh-CN"/>
        </w:rPr>
      </w:pPr>
      <w:r>
        <w:rPr>
          <w:rFonts w:hint="eastAsia" w:ascii="彩虹粗仿宋" w:hAnsi="宋体" w:eastAsia="彩虹粗仿宋" w:cs="宋体"/>
          <w:color w:val="auto"/>
          <w:sz w:val="32"/>
          <w:szCs w:val="32"/>
          <w:lang w:eastAsia="zh-CN"/>
        </w:rPr>
        <w:t>B7251.1:型式试验和部分型式试验成套设备</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国家或地方发布相关规范及法律法规的要求，如上述标准与最新国家标准冲突，以最新标准为准。</w:t>
      </w: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二、实施原则</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（一）兼容性原则</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1</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更换品牌为低电柜原框架断路器品牌ABB，确保整体运行稳定可靠。不改变盘柜现有的结构和母线，保留原柜框架断路器底座和一次连接母排及原二次控制接线。</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2</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单个框架</w:t>
      </w:r>
      <w:r>
        <w:rPr>
          <w:rFonts w:ascii="彩虹粗仿宋" w:eastAsia="彩虹粗仿宋"/>
          <w:color w:val="auto"/>
          <w:sz w:val="32"/>
          <w:szCs w:val="32"/>
          <w:lang w:eastAsia="zh-CN"/>
        </w:rPr>
        <w:t>断路器</w:t>
      </w:r>
      <w:r>
        <w:rPr>
          <w:rFonts w:hint="eastAsia" w:ascii="彩虹粗仿宋" w:eastAsia="彩虹粗仿宋"/>
          <w:color w:val="auto"/>
          <w:sz w:val="32"/>
          <w:szCs w:val="32"/>
          <w:lang w:eastAsia="zh-CN"/>
        </w:rPr>
        <w:t>更换升级时间控制在</w:t>
      </w:r>
      <w:r>
        <w:rPr>
          <w:rFonts w:ascii="彩虹粗仿宋" w:eastAsia="彩虹粗仿宋"/>
          <w:color w:val="auto"/>
          <w:sz w:val="32"/>
          <w:szCs w:val="32"/>
          <w:lang w:eastAsia="zh-CN"/>
        </w:rPr>
        <w:t>60</w:t>
      </w:r>
      <w:r>
        <w:rPr>
          <w:rFonts w:hint="eastAsia" w:ascii="彩虹粗仿宋" w:eastAsia="彩虹粗仿宋"/>
          <w:color w:val="auto"/>
          <w:sz w:val="32"/>
          <w:szCs w:val="32"/>
          <w:lang w:eastAsia="zh-CN"/>
        </w:rPr>
        <w:t>分钟以内（一次母排部分），完成所有二次接线和相关功能测试，以保证最短的停电时间，避免影响楼内正常办公。</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（二）规范性原则</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1.</w:t>
      </w:r>
      <w:r>
        <w:rPr>
          <w:rFonts w:hint="eastAsia" w:ascii="彩虹粗仿宋" w:eastAsia="彩虹粗仿宋"/>
          <w:color w:val="auto"/>
          <w:sz w:val="32"/>
          <w:szCs w:val="32"/>
          <w:lang w:eastAsia="zh-CN"/>
        </w:rPr>
        <w:t>严格按照国家标准施工，确保框架断路器更换过程符合行业规范。</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2.</w:t>
      </w:r>
      <w:r>
        <w:rPr>
          <w:rFonts w:hint="eastAsia" w:ascii="彩虹粗仿宋" w:eastAsia="彩虹粗仿宋"/>
          <w:color w:val="auto"/>
          <w:sz w:val="32"/>
          <w:szCs w:val="32"/>
          <w:lang w:eastAsia="zh-CN"/>
        </w:rPr>
        <w:t>施工前需提交详细施工方案，经我行本部大楼修缮项目监理公司审核后执行。</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（三）安全性原则</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1.</w:t>
      </w:r>
      <w:r>
        <w:rPr>
          <w:rFonts w:hint="eastAsia" w:ascii="彩虹粗仿宋" w:eastAsia="彩虹粗仿宋"/>
          <w:color w:val="auto"/>
          <w:sz w:val="32"/>
          <w:szCs w:val="32"/>
          <w:lang w:eastAsia="zh-CN"/>
        </w:rPr>
        <w:t>施工期间需设置安全围挡。</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2.</w:t>
      </w:r>
      <w:r>
        <w:rPr>
          <w:rFonts w:hint="eastAsia" w:ascii="彩虹粗仿宋" w:eastAsia="彩虹粗仿宋"/>
          <w:color w:val="auto"/>
          <w:sz w:val="32"/>
          <w:szCs w:val="32"/>
          <w:lang w:eastAsia="zh-CN"/>
        </w:rPr>
        <w:t>电工作业须持有特种作业操作证，并配置安全监督人员。</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（四）先进性原则</w:t>
      </w:r>
    </w:p>
    <w:p>
      <w:pPr>
        <w:pStyle w:val="3"/>
        <w:widowControl w:val="0"/>
        <w:tabs>
          <w:tab w:val="left" w:pos="312"/>
        </w:tabs>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新框架断路器相关电气参数均应高于或等于原型号框架断路器。</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（五）标准化原则</w:t>
      </w:r>
    </w:p>
    <w:p>
      <w:pPr>
        <w:pStyle w:val="3"/>
        <w:widowControl w:val="0"/>
        <w:spacing w:line="587" w:lineRule="exact"/>
        <w:ind w:firstLine="640" w:firstLineChars="200"/>
        <w:jc w:val="both"/>
        <w:rPr>
          <w:rFonts w:ascii="彩虹粗仿宋" w:eastAsia="彩虹粗仿宋"/>
          <w:b/>
          <w:bCs/>
          <w:color w:val="auto"/>
          <w:sz w:val="32"/>
          <w:szCs w:val="32"/>
          <w:lang w:eastAsia="zh-CN"/>
        </w:rPr>
      </w:pPr>
      <w:r>
        <w:rPr>
          <w:rFonts w:hint="eastAsia" w:ascii="彩虹粗仿宋" w:eastAsia="彩虹粗仿宋"/>
          <w:color w:val="auto"/>
          <w:sz w:val="32"/>
          <w:szCs w:val="32"/>
          <w:lang w:eastAsia="zh-CN"/>
        </w:rPr>
        <w:t>直接替换方案涉及所有主要配件，包括：一次转换件，二次连接件，都应在框架断路器生产厂家组装成品提供，并提供相应的厂家试验报告和3C证书，不接受任何形式的没有试验报告的零件现场组装。</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（六）灵活性原则</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1.</w:t>
      </w:r>
      <w:r>
        <w:rPr>
          <w:rFonts w:hint="eastAsia" w:ascii="彩虹粗仿宋" w:eastAsia="彩虹粗仿宋"/>
          <w:color w:val="auto"/>
          <w:sz w:val="32"/>
          <w:szCs w:val="32"/>
          <w:lang w:eastAsia="zh-CN"/>
        </w:rPr>
        <w:t>替换下来的旧框架断路器经供应商检修后出具检测报告，做为备用开关使用。</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ascii="彩虹粗仿宋" w:eastAsia="彩虹粗仿宋"/>
          <w:color w:val="auto"/>
          <w:sz w:val="32"/>
          <w:szCs w:val="32"/>
          <w:lang w:eastAsia="zh-CN"/>
        </w:rPr>
        <w:t>2.</w:t>
      </w:r>
      <w:r>
        <w:rPr>
          <w:rFonts w:hint="eastAsia" w:ascii="彩虹粗仿宋" w:eastAsia="彩虹粗仿宋"/>
          <w:color w:val="auto"/>
          <w:sz w:val="32"/>
          <w:szCs w:val="32"/>
          <w:lang w:eastAsia="zh-CN"/>
        </w:rPr>
        <w:t>采用分阶段施工，主进开关单台停电时间≤</w:t>
      </w:r>
      <w:r>
        <w:rPr>
          <w:rFonts w:ascii="彩虹粗仿宋" w:eastAsia="彩虹粗仿宋"/>
          <w:color w:val="auto"/>
          <w:sz w:val="32"/>
          <w:szCs w:val="32"/>
          <w:lang w:eastAsia="zh-CN"/>
        </w:rPr>
        <w:t>6</w:t>
      </w:r>
      <w:r>
        <w:rPr>
          <w:rFonts w:hint="eastAsia" w:ascii="彩虹粗仿宋" w:eastAsia="彩虹粗仿宋"/>
          <w:color w:val="auto"/>
          <w:sz w:val="32"/>
          <w:szCs w:val="32"/>
          <w:lang w:eastAsia="zh-CN"/>
        </w:rPr>
        <w:t>0分钟，确保不影响大楼供电系统正常运行。</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（七）专业性原则</w:t>
      </w:r>
    </w:p>
    <w:p>
      <w:pPr>
        <w:pStyle w:val="3"/>
        <w:widowControl w:val="0"/>
        <w:spacing w:line="587" w:lineRule="exact"/>
        <w:ind w:firstLine="640" w:firstLineChars="200"/>
        <w:jc w:val="both"/>
        <w:rPr>
          <w:rFonts w:ascii="彩虹楷体" w:eastAsia="彩虹楷体"/>
          <w:b/>
          <w:color w:val="auto"/>
          <w:sz w:val="32"/>
          <w:szCs w:val="32"/>
          <w:lang w:eastAsia="zh-CN"/>
        </w:rPr>
      </w:pPr>
      <w:r>
        <w:rPr>
          <w:rFonts w:hint="eastAsia" w:ascii="彩虹粗仿宋" w:eastAsia="彩虹粗仿宋"/>
          <w:color w:val="auto"/>
          <w:sz w:val="32"/>
          <w:szCs w:val="32"/>
          <w:lang w:eastAsia="zh-CN"/>
        </w:rPr>
        <w:t>参与施工技术人员须经厦门A</w:t>
      </w:r>
      <w:r>
        <w:rPr>
          <w:rFonts w:ascii="彩虹粗仿宋" w:eastAsia="彩虹粗仿宋"/>
          <w:color w:val="auto"/>
          <w:sz w:val="32"/>
          <w:szCs w:val="32"/>
          <w:lang w:eastAsia="zh-CN"/>
        </w:rPr>
        <w:t>BB</w:t>
      </w:r>
      <w:r>
        <w:rPr>
          <w:rFonts w:hint="eastAsia" w:ascii="彩虹粗仿宋" w:eastAsia="彩虹粗仿宋"/>
          <w:color w:val="auto"/>
          <w:sz w:val="32"/>
          <w:szCs w:val="32"/>
          <w:lang w:eastAsia="zh-CN"/>
        </w:rPr>
        <w:t>低压电器设备有限公司培训并获得相应培训证书，对设备结构及性能有充分了解。</w:t>
      </w:r>
    </w:p>
    <w:p>
      <w:pPr>
        <w:pStyle w:val="3"/>
        <w:widowControl w:val="0"/>
        <w:spacing w:line="587" w:lineRule="exact"/>
        <w:ind w:firstLine="640" w:firstLineChars="200"/>
        <w:jc w:val="both"/>
        <w:rPr>
          <w:rFonts w:ascii="彩虹黑体" w:eastAsia="彩虹黑体"/>
          <w:color w:val="auto"/>
          <w:sz w:val="32"/>
          <w:szCs w:val="32"/>
          <w:lang w:eastAsia="zh-CN"/>
        </w:rPr>
      </w:pPr>
      <w:r>
        <w:rPr>
          <w:rFonts w:hint="eastAsia" w:ascii="彩虹黑体" w:eastAsia="彩虹黑体"/>
          <w:color w:val="auto"/>
          <w:sz w:val="32"/>
          <w:szCs w:val="32"/>
          <w:lang w:eastAsia="zh-CN"/>
        </w:rPr>
        <w:t>三、</w:t>
      </w:r>
      <w:r>
        <w:rPr>
          <w:rFonts w:hint="eastAsia" w:ascii="彩虹黑体" w:eastAsia="彩虹黑体"/>
          <w:bCs/>
          <w:color w:val="auto"/>
          <w:sz w:val="32"/>
          <w:szCs w:val="32"/>
          <w:lang w:eastAsia="zh-CN"/>
        </w:rPr>
        <w:t>区分行本部大楼框架断路器更换内容及技术要求</w:t>
      </w: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（一）更换内容</w:t>
      </w:r>
    </w:p>
    <w:p>
      <w:pPr>
        <w:spacing w:line="587" w:lineRule="exact"/>
        <w:ind w:firstLine="640" w:firstLineChars="200"/>
        <w:rPr>
          <w:rFonts w:ascii="彩虹粗仿宋" w:hAnsi="宋体" w:eastAsia="彩虹粗仿宋" w:cs="宋体"/>
          <w:sz w:val="32"/>
          <w:szCs w:val="32"/>
        </w:rPr>
      </w:pPr>
      <w:r>
        <w:rPr>
          <w:rFonts w:hint="eastAsia" w:ascii="彩虹粗仿宋" w:hAnsi="宋体" w:eastAsia="彩虹粗仿宋" w:cs="宋体"/>
          <w:sz w:val="32"/>
          <w:szCs w:val="32"/>
        </w:rPr>
        <w:t>根据区分行本部大楼实际安全用电需要及生产厂家现有产品，将对原F1、F2框架式断路器采用易替方案直接更换。</w:t>
      </w:r>
      <w:r>
        <w:rPr>
          <w:rFonts w:hint="eastAsia" w:ascii="彩虹粗仿宋" w:eastAsia="彩虹粗仿宋" w:cs="微软雅黑" w:hAnsiTheme="minorEastAsia"/>
          <w:sz w:val="32"/>
          <w:szCs w:val="32"/>
        </w:rPr>
        <w:t>替换范围包含原框架断路器产品所带附件如储能电机、分闸线圈、合闸线圈、欠压线圈、欠压延时继电器、辅助触头和分闸位置锁等。</w:t>
      </w:r>
    </w:p>
    <w:p>
      <w:pPr>
        <w:spacing w:after="240" w:afterLines="100" w:line="587" w:lineRule="exact"/>
        <w:jc w:val="center"/>
        <w:textAlignment w:val="center"/>
        <w:rPr>
          <w:rFonts w:ascii="宋体" w:hAnsi="宋体" w:eastAsia="宋体" w:cs="宋体"/>
          <w:sz w:val="28"/>
          <w:szCs w:val="28"/>
        </w:rPr>
      </w:pPr>
    </w:p>
    <w:p>
      <w:pPr>
        <w:spacing w:after="240" w:afterLines="100" w:line="587" w:lineRule="exact"/>
        <w:jc w:val="center"/>
        <w:textAlignment w:val="center"/>
        <w:rPr>
          <w:rFonts w:ascii="宋体" w:hAnsi="宋体" w:eastAsia="宋体" w:cs="宋体"/>
          <w:sz w:val="28"/>
          <w:szCs w:val="28"/>
        </w:rPr>
      </w:pPr>
      <w:r>
        <w:rPr>
          <w:rFonts w:hint="eastAsia" w:ascii="宋体" w:hAnsi="宋体" w:eastAsia="宋体" w:cs="宋体"/>
          <w:sz w:val="28"/>
          <w:szCs w:val="28"/>
        </w:rPr>
        <w:t>区分行本部大楼框架断路器设备清单</w:t>
      </w:r>
    </w:p>
    <w:tbl>
      <w:tblPr>
        <w:tblStyle w:val="9"/>
        <w:tblW w:w="8359" w:type="dxa"/>
        <w:tblInd w:w="0" w:type="dxa"/>
        <w:tblLayout w:type="autofit"/>
        <w:tblCellMar>
          <w:top w:w="0" w:type="dxa"/>
          <w:left w:w="108" w:type="dxa"/>
          <w:bottom w:w="0" w:type="dxa"/>
          <w:right w:w="108" w:type="dxa"/>
        </w:tblCellMar>
      </w:tblPr>
      <w:tblGrid>
        <w:gridCol w:w="2405"/>
        <w:gridCol w:w="2126"/>
        <w:gridCol w:w="1701"/>
        <w:gridCol w:w="2127"/>
      </w:tblGrid>
      <w:tr>
        <w:tblPrEx>
          <w:tblCellMar>
            <w:top w:w="0" w:type="dxa"/>
            <w:left w:w="108" w:type="dxa"/>
            <w:bottom w:w="0" w:type="dxa"/>
            <w:right w:w="108" w:type="dxa"/>
          </w:tblCellMar>
        </w:tblPrEx>
        <w:trPr>
          <w:trHeight w:val="58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原断路器型号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新断路器型号</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数量</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方  案</w:t>
            </w:r>
          </w:p>
        </w:tc>
      </w:tr>
      <w:tr>
        <w:tblPrEx>
          <w:tblCellMar>
            <w:top w:w="0" w:type="dxa"/>
            <w:left w:w="108" w:type="dxa"/>
            <w:bottom w:w="0" w:type="dxa"/>
            <w:right w:w="108" w:type="dxa"/>
          </w:tblCellMar>
        </w:tblPrEx>
        <w:trPr>
          <w:trHeight w:val="2090" w:hRule="atLeast"/>
        </w:trPr>
        <w:tc>
          <w:tcPr>
            <w:tcW w:w="2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F2S2500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E2.2N2500-F2S2500 3P W CD D</w:t>
            </w:r>
            <w:r>
              <w:rPr>
                <w:rFonts w:cs="宋体" w:asciiTheme="minorEastAsia" w:hAnsiTheme="minorEastAsia"/>
                <w:kern w:val="0"/>
                <w:sz w:val="28"/>
                <w:szCs w:val="28"/>
              </w:rPr>
              <w:t xml:space="preserve"> </w:t>
            </w:r>
            <w:r>
              <w:rPr>
                <w:rFonts w:hint="eastAsia" w:cs="宋体" w:asciiTheme="minorEastAsia" w:hAnsiTheme="minorEastAsia"/>
                <w:kern w:val="0"/>
                <w:sz w:val="28"/>
                <w:szCs w:val="28"/>
              </w:rPr>
              <w:t>LSI</w:t>
            </w:r>
            <w:r>
              <w:rPr>
                <w:rFonts w:cs="宋体" w:asciiTheme="minorEastAsia" w:hAnsiTheme="minorEastAsia"/>
                <w:kern w:val="0"/>
                <w:sz w:val="28"/>
                <w:szCs w:val="28"/>
              </w:rPr>
              <w:t xml:space="preserve"> NST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3(其中1个为暂列，2个为确定更换）</w:t>
            </w:r>
            <w:r>
              <w:rPr>
                <w:rStyle w:val="12"/>
                <w:rFonts w:cs="宋体" w:asciiTheme="minorEastAsia" w:hAnsiTheme="minorEastAsia"/>
                <w:kern w:val="0"/>
                <w:sz w:val="28"/>
                <w:szCs w:val="28"/>
              </w:rPr>
              <w:footnoteReference w:id="0"/>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r>
      <w:tr>
        <w:tblPrEx>
          <w:tblCellMar>
            <w:top w:w="0" w:type="dxa"/>
            <w:left w:w="108" w:type="dxa"/>
            <w:bottom w:w="0" w:type="dxa"/>
            <w:right w:w="108" w:type="dxa"/>
          </w:tblCellMar>
        </w:tblPrEx>
        <w:trPr>
          <w:trHeight w:val="2090" w:hRule="atLeast"/>
        </w:trPr>
        <w:tc>
          <w:tcPr>
            <w:tcW w:w="2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F1S2000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E2.2N 2000-F1S2000 3P W CD D LSI NST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1</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r>
      <w:tr>
        <w:tblPrEx>
          <w:tblCellMar>
            <w:top w:w="0" w:type="dxa"/>
            <w:left w:w="108" w:type="dxa"/>
            <w:bottom w:w="0" w:type="dxa"/>
            <w:right w:w="108" w:type="dxa"/>
          </w:tblCellMar>
        </w:tblPrEx>
        <w:trPr>
          <w:trHeight w:val="2090" w:hRule="atLeast"/>
        </w:trPr>
        <w:tc>
          <w:tcPr>
            <w:tcW w:w="2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F1S1600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E2.2N 1600-F1S1600 3P W CD D LSI NST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7</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r>
      <w:tr>
        <w:tblPrEx>
          <w:tblCellMar>
            <w:top w:w="0" w:type="dxa"/>
            <w:left w:w="108" w:type="dxa"/>
            <w:bottom w:w="0" w:type="dxa"/>
            <w:right w:w="108" w:type="dxa"/>
          </w:tblCellMar>
        </w:tblPrEx>
        <w:trPr>
          <w:trHeight w:val="2090" w:hRule="atLeast"/>
        </w:trPr>
        <w:tc>
          <w:tcPr>
            <w:tcW w:w="2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F1S1250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E2.2N 1250-F1S1250 3P W CD D LSI NST</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15</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r>
      <w:tr>
        <w:tblPrEx>
          <w:tblCellMar>
            <w:top w:w="0" w:type="dxa"/>
            <w:left w:w="108" w:type="dxa"/>
            <w:bottom w:w="0" w:type="dxa"/>
            <w:right w:w="108" w:type="dxa"/>
          </w:tblCellMar>
        </w:tblPrEx>
        <w:trPr>
          <w:trHeight w:val="810" w:hRule="atLeast"/>
        </w:trPr>
        <w:tc>
          <w:tcPr>
            <w:tcW w:w="2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合计</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26个</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　</w:t>
            </w:r>
          </w:p>
        </w:tc>
      </w:tr>
    </w:tbl>
    <w:p>
      <w:pPr>
        <w:pStyle w:val="3"/>
        <w:widowControl w:val="0"/>
        <w:spacing w:line="587" w:lineRule="exact"/>
        <w:ind w:firstLine="642" w:firstLineChars="200"/>
        <w:jc w:val="both"/>
        <w:rPr>
          <w:rFonts w:ascii="彩虹楷体" w:eastAsia="彩虹楷体"/>
          <w:b/>
          <w:color w:val="auto"/>
          <w:sz w:val="32"/>
          <w:szCs w:val="32"/>
          <w:lang w:eastAsia="zh-CN"/>
        </w:rPr>
      </w:pP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（二）技术要求</w:t>
      </w:r>
    </w:p>
    <w:tbl>
      <w:tblPr>
        <w:tblStyle w:val="9"/>
        <w:tblW w:w="8789" w:type="dxa"/>
        <w:tblInd w:w="-147" w:type="dxa"/>
        <w:tblLayout w:type="autofit"/>
        <w:tblCellMar>
          <w:top w:w="0" w:type="dxa"/>
          <w:left w:w="108" w:type="dxa"/>
          <w:bottom w:w="0" w:type="dxa"/>
          <w:right w:w="108" w:type="dxa"/>
        </w:tblCellMar>
      </w:tblPr>
      <w:tblGrid>
        <w:gridCol w:w="496"/>
        <w:gridCol w:w="1196"/>
        <w:gridCol w:w="1616"/>
        <w:gridCol w:w="1087"/>
        <w:gridCol w:w="1134"/>
        <w:gridCol w:w="3260"/>
      </w:tblGrid>
      <w:tr>
        <w:tblPrEx>
          <w:tblCellMar>
            <w:top w:w="0" w:type="dxa"/>
            <w:left w:w="108" w:type="dxa"/>
            <w:bottom w:w="0" w:type="dxa"/>
            <w:right w:w="108" w:type="dxa"/>
          </w:tblCellMar>
        </w:tblPrEx>
        <w:trPr>
          <w:cantSplit/>
          <w:trHeight w:val="146"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原断路器型号</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新断路器型号</w:t>
            </w:r>
          </w:p>
        </w:tc>
        <w:tc>
          <w:tcPr>
            <w:tcW w:w="1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维修方案</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具体规格及技术要求</w:t>
            </w:r>
          </w:p>
        </w:tc>
      </w:tr>
      <w:tr>
        <w:tblPrEx>
          <w:tblCellMar>
            <w:top w:w="0" w:type="dxa"/>
            <w:left w:w="108" w:type="dxa"/>
            <w:bottom w:w="0" w:type="dxa"/>
            <w:right w:w="108" w:type="dxa"/>
          </w:tblCellMar>
        </w:tblPrEx>
        <w:trPr>
          <w:cantSplit/>
          <w:trHeight w:val="68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F2S2500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 E2.2N2500-F2S2500 3P W CD D</w:t>
            </w:r>
            <w:r>
              <w:rPr>
                <w:rFonts w:cs="宋体" w:asciiTheme="minorEastAsia" w:hAnsiTheme="minorEastAsia"/>
                <w:kern w:val="0"/>
                <w:sz w:val="28"/>
                <w:szCs w:val="28"/>
              </w:rPr>
              <w:t xml:space="preserve"> </w:t>
            </w:r>
            <w:r>
              <w:rPr>
                <w:rFonts w:hint="eastAsia" w:cs="宋体" w:asciiTheme="minorEastAsia" w:hAnsiTheme="minorEastAsia"/>
                <w:kern w:val="0"/>
                <w:sz w:val="28"/>
                <w:szCs w:val="28"/>
              </w:rPr>
              <w:t>LSI</w:t>
            </w:r>
            <w:r>
              <w:rPr>
                <w:rFonts w:cs="宋体" w:asciiTheme="minorEastAsia" w:hAnsiTheme="minorEastAsia"/>
                <w:kern w:val="0"/>
                <w:sz w:val="28"/>
                <w:szCs w:val="28"/>
              </w:rPr>
              <w:t xml:space="preserve"> NST</w:t>
            </w:r>
          </w:p>
        </w:tc>
        <w:tc>
          <w:tcPr>
            <w:tcW w:w="108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3</w:t>
            </w:r>
          </w:p>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(其中1个为暂列，2个为确定更换）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框架代号：E2.2</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【2500A】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额定极限短路分断</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能力：N 66kA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额定持续电流：</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Iu 2500A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脱扣器类别 ：D</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【Ekip  Dip拨码式】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保护用途：LSI</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【3段保护】</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极数：3P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安装方式：W抽出式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接线方式：HR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抽屉式水平后接线</w:t>
            </w:r>
          </w:p>
        </w:tc>
      </w:tr>
      <w:tr>
        <w:tblPrEx>
          <w:tblCellMar>
            <w:top w:w="0" w:type="dxa"/>
            <w:left w:w="108" w:type="dxa"/>
            <w:bottom w:w="0" w:type="dxa"/>
            <w:right w:w="108" w:type="dxa"/>
          </w:tblCellMar>
        </w:tblPrEx>
        <w:trPr>
          <w:cantSplit/>
          <w:trHeight w:val="68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F1S2000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cs="宋体" w:asciiTheme="minorEastAsia" w:hAnsiTheme="minorEastAsia"/>
                <w:kern w:val="0"/>
                <w:sz w:val="28"/>
                <w:szCs w:val="28"/>
              </w:rPr>
              <w:t xml:space="preserve"> </w:t>
            </w:r>
          </w:p>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E2.2N 2000-F1S2000 3P W CD D LSI NST</w:t>
            </w:r>
          </w:p>
        </w:tc>
        <w:tc>
          <w:tcPr>
            <w:tcW w:w="108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框架代号：E2.2</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【2000A】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额定极限短路分断</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能力：N 66kA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额定持续电流：</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Iu 2000A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脱扣器类别 ：D</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【Ekip Dip拨码式】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保护用途：LSI</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【3段保护】</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极数：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安装方式：W抽出式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接线方式：HR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抽屉式水平后接线</w:t>
            </w:r>
          </w:p>
        </w:tc>
      </w:tr>
      <w:tr>
        <w:tblPrEx>
          <w:tblCellMar>
            <w:top w:w="0" w:type="dxa"/>
            <w:left w:w="108" w:type="dxa"/>
            <w:bottom w:w="0" w:type="dxa"/>
            <w:right w:w="108" w:type="dxa"/>
          </w:tblCellMar>
        </w:tblPrEx>
        <w:trPr>
          <w:cantSplit/>
          <w:trHeight w:val="68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cs="宋体" w:asciiTheme="minorEastAsia" w:hAnsiTheme="minorEastAsia"/>
                <w:kern w:val="0"/>
                <w:sz w:val="28"/>
                <w:szCs w:val="28"/>
              </w:rPr>
              <w:t>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F1S1600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E2.2N 1600-F1S1600 3P W CD D LSI NST</w:t>
            </w:r>
          </w:p>
        </w:tc>
        <w:tc>
          <w:tcPr>
            <w:tcW w:w="108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框架代号：E2.2</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【1600A】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额定极限短路分断</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能力：N 66kA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额定持续电流：</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Iu 1600A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脱扣器类别 ：D</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【Ekip Dip拨码式】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保护用途：LSI</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【3段保护】</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极数：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安装方式：W抽出式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接线方式：HR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抽屉式水平后接线</w:t>
            </w:r>
          </w:p>
        </w:tc>
      </w:tr>
      <w:tr>
        <w:tblPrEx>
          <w:tblCellMar>
            <w:top w:w="0" w:type="dxa"/>
            <w:left w:w="108" w:type="dxa"/>
            <w:bottom w:w="0" w:type="dxa"/>
            <w:right w:w="108" w:type="dxa"/>
          </w:tblCellMar>
        </w:tblPrEx>
        <w:trPr>
          <w:cantSplit/>
          <w:trHeight w:val="68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cs="宋体" w:asciiTheme="minorEastAsia" w:hAnsiTheme="minorEastAsia"/>
                <w:kern w:val="0"/>
                <w:sz w:val="28"/>
                <w:szCs w:val="28"/>
              </w:rPr>
              <w:t>4</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F1S1250 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AR1-LI</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DR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E2.2N 1250-F1S1250 3P W CD D LSI NST</w:t>
            </w:r>
          </w:p>
        </w:tc>
        <w:tc>
          <w:tcPr>
            <w:tcW w:w="1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15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直接更换</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8"/>
                <w:szCs w:val="28"/>
              </w:rPr>
            </w:pPr>
            <w:r>
              <w:rPr>
                <w:rFonts w:hint="eastAsia" w:cs="宋体" w:asciiTheme="minorEastAsia" w:hAnsiTheme="minorEastAsia"/>
                <w:kern w:val="0"/>
                <w:sz w:val="28"/>
                <w:szCs w:val="28"/>
              </w:rPr>
              <w:t>框架代号：E2.2</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【1250A】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额定极限短路分断</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能力：N 66kA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额定持续电流：</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 xml:space="preserve"> Iu 1250A</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脱扣器类别 ：D</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【Ekip Dip拨码式】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保护用途：LSI</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【3段保护】</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极数：3P</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安装方式：W抽出式</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接线方式：HR</w:t>
            </w:r>
            <w:r>
              <w:rPr>
                <w:rFonts w:hint="eastAsia" w:cs="宋体" w:asciiTheme="minorEastAsia" w:hAnsiTheme="minorEastAsia"/>
                <w:kern w:val="0"/>
                <w:sz w:val="28"/>
                <w:szCs w:val="28"/>
              </w:rPr>
              <w:br w:type="textWrapping"/>
            </w:r>
            <w:r>
              <w:rPr>
                <w:rFonts w:hint="eastAsia" w:cs="宋体" w:asciiTheme="minorEastAsia" w:hAnsiTheme="minorEastAsia"/>
                <w:kern w:val="0"/>
                <w:sz w:val="28"/>
                <w:szCs w:val="28"/>
              </w:rPr>
              <w:t>抽屉式水平后接线</w:t>
            </w:r>
          </w:p>
        </w:tc>
      </w:tr>
    </w:tbl>
    <w:p>
      <w:pPr>
        <w:pStyle w:val="3"/>
        <w:widowControl w:val="0"/>
        <w:spacing w:line="587" w:lineRule="exact"/>
        <w:ind w:firstLine="642" w:firstLineChars="200"/>
        <w:jc w:val="both"/>
        <w:rPr>
          <w:rFonts w:ascii="彩虹楷体" w:eastAsia="彩虹楷体"/>
          <w:b/>
          <w:color w:val="auto"/>
          <w:sz w:val="32"/>
          <w:szCs w:val="32"/>
          <w:lang w:eastAsia="zh-CN"/>
        </w:rPr>
      </w:pPr>
    </w:p>
    <w:p>
      <w:pPr>
        <w:pStyle w:val="3"/>
        <w:widowControl w:val="0"/>
        <w:spacing w:line="587" w:lineRule="exact"/>
        <w:ind w:firstLine="642" w:firstLineChars="200"/>
        <w:jc w:val="both"/>
        <w:rPr>
          <w:rFonts w:ascii="彩虹楷体" w:eastAsia="彩虹楷体"/>
          <w:b/>
          <w:color w:val="auto"/>
          <w:sz w:val="32"/>
          <w:szCs w:val="32"/>
          <w:lang w:eastAsia="zh-CN"/>
        </w:rPr>
      </w:pPr>
      <w:r>
        <w:rPr>
          <w:rFonts w:hint="eastAsia" w:ascii="彩虹楷体" w:eastAsia="彩虹楷体"/>
          <w:b/>
          <w:color w:val="auto"/>
          <w:sz w:val="32"/>
          <w:szCs w:val="32"/>
          <w:lang w:eastAsia="zh-CN"/>
        </w:rPr>
        <w:t>（三）验收标准</w:t>
      </w:r>
    </w:p>
    <w:p>
      <w:pPr>
        <w:pStyle w:val="3"/>
        <w:widowControl w:val="0"/>
        <w:spacing w:line="587" w:lineRule="exact"/>
        <w:ind w:firstLine="640" w:firstLineChars="200"/>
        <w:rPr>
          <w:rFonts w:ascii="彩虹粗仿宋" w:eastAsia="彩虹粗仿宋"/>
          <w:color w:val="auto"/>
          <w:sz w:val="32"/>
          <w:szCs w:val="32"/>
          <w:lang w:eastAsia="zh-CN"/>
        </w:rPr>
      </w:pPr>
      <w:r>
        <w:rPr>
          <w:rFonts w:hint="eastAsia" w:ascii="彩虹粗仿宋" w:eastAsia="彩虹粗仿宋"/>
          <w:color w:val="auto"/>
          <w:sz w:val="32"/>
          <w:szCs w:val="32"/>
          <w:lang w:eastAsia="zh-CN"/>
        </w:rPr>
        <w:t>1</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开工之前，须确认目前现有框架断路器的投切和二次通讯等情况，例如自投自复、欠压等功能是否正常使用。项目施工完毕后验收必须恢复原有框架断路器的全部功能，不能有所减少。</w:t>
      </w:r>
    </w:p>
    <w:p>
      <w:pPr>
        <w:pStyle w:val="3"/>
        <w:widowControl w:val="0"/>
        <w:spacing w:line="587" w:lineRule="exact"/>
        <w:ind w:firstLine="640" w:firstLineChars="200"/>
        <w:rPr>
          <w:rFonts w:ascii="彩虹粗仿宋" w:eastAsia="彩虹粗仿宋"/>
          <w:color w:val="auto"/>
          <w:sz w:val="32"/>
          <w:szCs w:val="32"/>
          <w:lang w:eastAsia="zh-CN"/>
        </w:rPr>
      </w:pPr>
      <w:r>
        <w:rPr>
          <w:rFonts w:hint="eastAsia" w:ascii="彩虹粗仿宋" w:eastAsia="彩虹粗仿宋"/>
          <w:color w:val="auto"/>
          <w:sz w:val="32"/>
          <w:szCs w:val="32"/>
          <w:lang w:eastAsia="zh-CN"/>
        </w:rPr>
        <w:t>2</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框架断路器型号应符合合同的规定，并提供ABB框架断路器的检测报告、出厂合格证、</w:t>
      </w:r>
      <w:r>
        <w:rPr>
          <w:rFonts w:ascii="彩虹粗仿宋" w:eastAsia="彩虹粗仿宋"/>
          <w:color w:val="auto"/>
          <w:sz w:val="32"/>
          <w:szCs w:val="32"/>
          <w:lang w:eastAsia="zh-CN"/>
        </w:rPr>
        <w:t>3C证书</w:t>
      </w:r>
      <w:r>
        <w:rPr>
          <w:rFonts w:hint="eastAsia" w:ascii="彩虹粗仿宋" w:eastAsia="彩虹粗仿宋"/>
          <w:color w:val="auto"/>
          <w:sz w:val="32"/>
          <w:szCs w:val="32"/>
          <w:lang w:eastAsia="zh-CN"/>
        </w:rPr>
        <w:t>等相关资料。</w:t>
      </w:r>
    </w:p>
    <w:p>
      <w:pPr>
        <w:pStyle w:val="3"/>
        <w:widowControl w:val="0"/>
        <w:spacing w:line="587" w:lineRule="exact"/>
        <w:ind w:firstLine="640" w:firstLineChars="200"/>
        <w:jc w:val="both"/>
        <w:rPr>
          <w:rFonts w:ascii="彩虹黑体" w:eastAsia="彩虹黑体"/>
          <w:color w:val="auto"/>
          <w:sz w:val="32"/>
          <w:szCs w:val="32"/>
          <w:lang w:eastAsia="zh-CN"/>
        </w:rPr>
      </w:pPr>
      <w:r>
        <w:rPr>
          <w:rFonts w:hint="eastAsia" w:ascii="彩虹黑体" w:eastAsia="彩虹黑体"/>
          <w:color w:val="auto"/>
          <w:sz w:val="32"/>
          <w:szCs w:val="32"/>
          <w:lang w:eastAsia="zh-CN"/>
        </w:rPr>
        <w:t>四、施工要求</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施工期间需配备专职安全员，现场材料运输做好成品保护及文明施工。施工期间，灭火器等应存放于现场易于拿到的地方，施工期间需配备专职安全员负责现场安全及消防保卫施工。如涉及夜间施工，积极配合甲方安排，做好安全及防噪音相关措施。</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1.牢固树立安全意识，做好施工人员安全教育，搞好安全防护培训。施工过程中 必须始终坚持安全第一，确保项目实施全程人员安全，并做好成品保护工作；</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2.乙方应制定并完善施工现场安全管理措施、方案，并严格遵守大楼各项管理规定，按要求办理出入证、施工审批、特种作业审批等手续。施工期间应规范操作流程，严格执行操作标准；</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3.压实安全管理责任，切实加强施工期间安全管控。乙方为施工安全管理第一责任人，对安全负直接责任。应指定专人负责施工安全管理工作，全程专人实时监管。落实安全管理职责，做好安全预防工作，并及时清除施工垃圾。特种作业人员需持有效证件，持证上岗；</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4.该项目具有在本部大楼日常使用环境中进行安装的特殊性，应充分考虑施工与使用之间的相互影响；提前准备、备足相应施工材料，最大限度降低备料及运输过程对日常使用带来的影响；加强对施工人员管控，严禁在非施工区域闲逛，严禁出入非施工工区，严禁单人在工区施工作业，坚决杜绝任何问题发生；</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5.所有施工作业区必须配备数量足够的灭火器，严禁吸烟，确保施工实现无动火、无灰尘、无烟雾操作。</w:t>
      </w: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五、公司资质要求</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1.在中华人民共和国境内的独立法人；</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2.未被红色预警且自2</w:t>
      </w:r>
      <w:r>
        <w:rPr>
          <w:rFonts w:ascii="彩虹粗仿宋" w:eastAsia="彩虹粗仿宋"/>
          <w:color w:val="auto"/>
          <w:sz w:val="32"/>
          <w:szCs w:val="32"/>
          <w:lang w:eastAsia="zh-CN"/>
        </w:rPr>
        <w:t>023</w:t>
      </w:r>
      <w:r>
        <w:rPr>
          <w:rFonts w:hint="eastAsia" w:ascii="彩虹粗仿宋" w:eastAsia="彩虹粗仿宋"/>
          <w:color w:val="auto"/>
          <w:sz w:val="32"/>
          <w:szCs w:val="32"/>
          <w:lang w:eastAsia="zh-CN"/>
        </w:rPr>
        <w:t>年至今在我行无不良行为记录；</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3.未被市场监督管理机关在国家企业信用信息公示系统中列入严重违法失信企业名单。</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4.未被最高人民法院在“信用中国”网站（www.creditchina.gov.cn）中列入失信被执行人名单；</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5.未在行政处罚信息中涉及责令停业处罚；</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6.相关领域未发生过专利侵权纠纷；</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7.本项目不接受联合体参加；</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8.需提供厦门A</w:t>
      </w:r>
      <w:r>
        <w:rPr>
          <w:rFonts w:ascii="彩虹粗仿宋" w:eastAsia="彩虹粗仿宋"/>
          <w:color w:val="auto"/>
          <w:sz w:val="32"/>
          <w:szCs w:val="32"/>
          <w:lang w:eastAsia="zh-CN"/>
        </w:rPr>
        <w:t>BB</w:t>
      </w:r>
      <w:r>
        <w:rPr>
          <w:rFonts w:hint="eastAsia" w:ascii="彩虹粗仿宋" w:eastAsia="彩虹粗仿宋"/>
          <w:color w:val="auto"/>
          <w:sz w:val="32"/>
          <w:szCs w:val="32"/>
          <w:lang w:eastAsia="zh-CN"/>
        </w:rPr>
        <w:t>低压开关设备有限公司授权服务经销商证书（A</w:t>
      </w:r>
      <w:r>
        <w:rPr>
          <w:rFonts w:ascii="彩虹粗仿宋" w:eastAsia="彩虹粗仿宋"/>
          <w:color w:val="auto"/>
          <w:sz w:val="32"/>
          <w:szCs w:val="32"/>
          <w:lang w:eastAsia="zh-CN"/>
        </w:rPr>
        <w:t>BB</w:t>
      </w:r>
      <w:r>
        <w:rPr>
          <w:rFonts w:hint="eastAsia" w:ascii="彩虹粗仿宋" w:eastAsia="彩虹粗仿宋"/>
          <w:color w:val="auto"/>
          <w:sz w:val="32"/>
          <w:szCs w:val="32"/>
          <w:lang w:eastAsia="zh-CN"/>
        </w:rPr>
        <w:t>项目授权）；</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9.供应商自2</w:t>
      </w:r>
      <w:r>
        <w:rPr>
          <w:rFonts w:ascii="彩虹粗仿宋" w:eastAsia="彩虹粗仿宋"/>
          <w:color w:val="auto"/>
          <w:sz w:val="32"/>
          <w:szCs w:val="32"/>
          <w:lang w:eastAsia="zh-CN"/>
        </w:rPr>
        <w:t>023</w:t>
      </w:r>
      <w:r>
        <w:rPr>
          <w:rFonts w:hint="eastAsia" w:ascii="彩虹粗仿宋" w:eastAsia="彩虹粗仿宋"/>
          <w:color w:val="auto"/>
          <w:sz w:val="32"/>
          <w:szCs w:val="32"/>
          <w:lang w:eastAsia="zh-CN"/>
        </w:rPr>
        <w:t>年至今须具有不少于1个供配电设备维护维修更新</w:t>
      </w:r>
      <w:r>
        <w:rPr>
          <w:rFonts w:ascii="彩虹粗仿宋" w:eastAsia="彩虹粗仿宋"/>
          <w:color w:val="auto"/>
          <w:sz w:val="32"/>
          <w:szCs w:val="32"/>
          <w:lang w:eastAsia="zh-CN"/>
        </w:rPr>
        <w:t>改造</w:t>
      </w:r>
      <w:r>
        <w:rPr>
          <w:rFonts w:hint="eastAsia" w:ascii="彩虹粗仿宋" w:eastAsia="彩虹粗仿宋"/>
          <w:color w:val="auto"/>
          <w:sz w:val="32"/>
          <w:szCs w:val="32"/>
          <w:lang w:eastAsia="zh-CN"/>
        </w:rPr>
        <w:t>或供配电工程项目的业绩；</w:t>
      </w: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六、人员要求</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乙方必须遵循我行本部大楼相关管理制度和规定，接受甲方现场管理人员的监督和检查，对甲方发现的问题应及时改正。</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乙方项目负责人及其他成员不得随意更换，以保持工作的连续性，主要技术人员应通过厦门A</w:t>
      </w:r>
      <w:r>
        <w:rPr>
          <w:rFonts w:ascii="彩虹粗仿宋" w:eastAsia="彩虹粗仿宋"/>
          <w:color w:val="auto"/>
          <w:sz w:val="32"/>
          <w:szCs w:val="32"/>
          <w:lang w:eastAsia="zh-CN"/>
        </w:rPr>
        <w:t>BB</w:t>
      </w:r>
      <w:r>
        <w:rPr>
          <w:rFonts w:hint="eastAsia" w:ascii="彩虹粗仿宋" w:eastAsia="彩虹粗仿宋"/>
          <w:color w:val="auto"/>
          <w:sz w:val="32"/>
          <w:szCs w:val="32"/>
          <w:lang w:eastAsia="zh-CN"/>
        </w:rPr>
        <w:t>低压开关设备有限公司培训并熟悉设备性能结构。</w:t>
      </w: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七、付款方式</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合同签订后支付合同总金额的50%作为预付款；竣工验收合格、</w:t>
      </w:r>
      <w:r>
        <w:rPr>
          <w:rFonts w:ascii="彩虹粗仿宋" w:eastAsia="彩虹粗仿宋"/>
          <w:color w:val="auto"/>
          <w:sz w:val="32"/>
          <w:szCs w:val="32"/>
          <w:lang w:eastAsia="zh-CN"/>
        </w:rPr>
        <w:t>完成工程结算审核</w:t>
      </w:r>
      <w:r>
        <w:rPr>
          <w:rFonts w:hint="eastAsia" w:ascii="彩虹粗仿宋" w:eastAsia="彩虹粗仿宋"/>
          <w:color w:val="auto"/>
          <w:sz w:val="32"/>
          <w:szCs w:val="32"/>
          <w:lang w:eastAsia="zh-CN"/>
        </w:rPr>
        <w:t>后，支付至本项目总结算金额的9</w:t>
      </w:r>
      <w:r>
        <w:rPr>
          <w:rFonts w:ascii="彩虹粗仿宋" w:eastAsia="彩虹粗仿宋"/>
          <w:color w:val="auto"/>
          <w:sz w:val="32"/>
          <w:szCs w:val="32"/>
          <w:lang w:eastAsia="zh-CN"/>
        </w:rPr>
        <w:t>7</w:t>
      </w:r>
      <w:r>
        <w:rPr>
          <w:rFonts w:hint="eastAsia" w:ascii="彩虹粗仿宋" w:eastAsia="彩虹粗仿宋"/>
          <w:color w:val="auto"/>
          <w:sz w:val="32"/>
          <w:szCs w:val="32"/>
          <w:lang w:eastAsia="zh-CN"/>
        </w:rPr>
        <w:t>%；本项目总结算金额的3%作为质保金，在质保期到期后支付。</w:t>
      </w:r>
    </w:p>
    <w:p>
      <w:pPr>
        <w:pStyle w:val="3"/>
        <w:widowControl w:val="0"/>
        <w:spacing w:line="587" w:lineRule="exact"/>
        <w:ind w:firstLine="640" w:firstLineChars="200"/>
        <w:jc w:val="both"/>
        <w:rPr>
          <w:rFonts w:ascii="彩虹黑体" w:eastAsia="彩虹黑体"/>
          <w:bCs/>
          <w:color w:val="auto"/>
          <w:sz w:val="32"/>
          <w:szCs w:val="32"/>
          <w:lang w:eastAsia="zh-CN"/>
        </w:rPr>
      </w:pPr>
      <w:r>
        <w:rPr>
          <w:rFonts w:hint="eastAsia" w:ascii="彩虹黑体" w:eastAsia="彩虹黑体"/>
          <w:bCs/>
          <w:color w:val="auto"/>
          <w:sz w:val="32"/>
          <w:szCs w:val="32"/>
          <w:lang w:eastAsia="zh-CN"/>
        </w:rPr>
        <w:t>八、售后服务</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1</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质保期</w:t>
      </w:r>
      <w:r>
        <w:rPr>
          <w:rFonts w:ascii="彩虹粗仿宋" w:eastAsia="彩虹粗仿宋"/>
          <w:color w:val="auto"/>
          <w:sz w:val="32"/>
          <w:szCs w:val="32"/>
          <w:lang w:eastAsia="zh-CN"/>
        </w:rPr>
        <w:t>2</w:t>
      </w:r>
      <w:r>
        <w:rPr>
          <w:rFonts w:hint="eastAsia" w:ascii="彩虹粗仿宋" w:eastAsia="彩虹粗仿宋"/>
          <w:color w:val="auto"/>
          <w:sz w:val="32"/>
          <w:szCs w:val="32"/>
          <w:lang w:eastAsia="zh-CN"/>
        </w:rPr>
        <w:t>年，质保期内提供7×24小时的售后服务响应，确保框架断路器出现故障时能够第一时间到达现场进行维修处理。</w:t>
      </w:r>
    </w:p>
    <w:p>
      <w:pPr>
        <w:pStyle w:val="3"/>
        <w:widowControl w:val="0"/>
        <w:spacing w:line="587" w:lineRule="exact"/>
        <w:ind w:firstLine="640" w:firstLineChars="200"/>
        <w:jc w:val="both"/>
        <w:rPr>
          <w:rFonts w:ascii="彩虹粗仿宋" w:eastAsia="彩虹粗仿宋"/>
          <w:color w:val="auto"/>
          <w:sz w:val="32"/>
          <w:szCs w:val="32"/>
          <w:lang w:eastAsia="zh-CN"/>
        </w:rPr>
      </w:pPr>
      <w:r>
        <w:rPr>
          <w:rFonts w:hint="eastAsia" w:ascii="彩虹粗仿宋" w:eastAsia="彩虹粗仿宋"/>
          <w:color w:val="auto"/>
          <w:sz w:val="32"/>
          <w:szCs w:val="32"/>
          <w:lang w:eastAsia="zh-CN"/>
        </w:rPr>
        <w:t>2</w:t>
      </w:r>
      <w:r>
        <w:rPr>
          <w:rFonts w:ascii="彩虹粗仿宋" w:eastAsia="彩虹粗仿宋"/>
          <w:color w:val="auto"/>
          <w:sz w:val="32"/>
          <w:szCs w:val="32"/>
          <w:lang w:eastAsia="zh-CN"/>
        </w:rPr>
        <w:t>.</w:t>
      </w:r>
      <w:r>
        <w:rPr>
          <w:rFonts w:hint="eastAsia" w:ascii="彩虹粗仿宋" w:eastAsia="彩虹粗仿宋"/>
          <w:color w:val="auto"/>
          <w:sz w:val="32"/>
          <w:szCs w:val="32"/>
          <w:lang w:eastAsia="zh-CN"/>
        </w:rPr>
        <w:t>供应商配备一定数量的应急维修备件。</w:t>
      </w:r>
    </w:p>
    <w:sectPr>
      <w:footerReference r:id="rId4" w:type="default"/>
      <w:pgSz w:w="11906" w:h="16838"/>
      <w:pgMar w:top="1440" w:right="1800" w:bottom="1440" w:left="1800" w:header="0" w:footer="113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05"/>
      <w:rPr>
        <w:rFonts w:ascii="Times New Roman" w:hAnsi="Times New Roman" w:eastAsia="Times New Roman" w:cs="Times New Roman"/>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6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0288;mso-width-relative:page;mso-height-relative:page;" filled="f" stroked="f" coordsize="21600,21600" o:gfxdata="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IV/G3dAAAAADAQAADwAAAAAAAAABACAAAAA4AAAAZHJz&#10;L2Rvd25yZXYueG1sUEsBAhQAFAAAAAgAh07iQFSWSLkvAgAAUwQAAA4AAAAAAAAAAQAgAAAANQEA&#10;AGRycy9lMm9Eb2MueG1sUEsFBgAAAAAGAAYAWQEAANY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pdxhddIAAAADAQAADwAAAAAAAAABACAAAAA4AAAA&#10;ZHJzL2Rvd25yZXYueG1sUEsBAhQAFAAAAAgAh07iQAVCcXUwAgAAUwQAAA4AAAAAAAAAAQAgAAAA&#10;NwEAAGRycy9lMm9Eb2MueG1sUEsFBgAAAAAGAAYAWQEAANk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pPr>
      <w:r>
        <w:rPr>
          <w:rStyle w:val="12"/>
        </w:rPr>
        <w:footnoteRef/>
      </w:r>
      <w:r>
        <w:t xml:space="preserve"> </w:t>
      </w:r>
      <w:r>
        <w:rPr>
          <w:rFonts w:hint="eastAsia"/>
        </w:rPr>
        <w:t>考虑不可预见情况暂列1个框架</w:t>
      </w:r>
      <w:r>
        <w:t>断路器</w:t>
      </w:r>
      <w:r>
        <w:rPr>
          <w:rFonts w:hint="eastAsia"/>
        </w:rPr>
        <w:t>，最终按实结算。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11CD1"/>
    <w:multiLevelType w:val="multilevel"/>
    <w:tmpl w:val="11411CD1"/>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dit="trackedChanges" w:enforcement="0"/>
  <w:defaultTabStop w:val="420"/>
  <w:characterSpacingControl w:val="doNotCompress"/>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7"/>
    <w:rsid w:val="000A0304"/>
    <w:rsid w:val="000C587D"/>
    <w:rsid w:val="00121152"/>
    <w:rsid w:val="00124ABE"/>
    <w:rsid w:val="00137AF4"/>
    <w:rsid w:val="00144973"/>
    <w:rsid w:val="001A7351"/>
    <w:rsid w:val="001B73F5"/>
    <w:rsid w:val="0025130A"/>
    <w:rsid w:val="00257D29"/>
    <w:rsid w:val="002802B8"/>
    <w:rsid w:val="00295F41"/>
    <w:rsid w:val="002B2C91"/>
    <w:rsid w:val="002E427B"/>
    <w:rsid w:val="00303BF3"/>
    <w:rsid w:val="00315ECA"/>
    <w:rsid w:val="00316174"/>
    <w:rsid w:val="0036193C"/>
    <w:rsid w:val="003A66B1"/>
    <w:rsid w:val="003B6D9A"/>
    <w:rsid w:val="003D4E6A"/>
    <w:rsid w:val="00417AB0"/>
    <w:rsid w:val="004205E7"/>
    <w:rsid w:val="004263EF"/>
    <w:rsid w:val="0042690D"/>
    <w:rsid w:val="00477714"/>
    <w:rsid w:val="004D1866"/>
    <w:rsid w:val="004D7E4C"/>
    <w:rsid w:val="004F155B"/>
    <w:rsid w:val="0051018D"/>
    <w:rsid w:val="005462D0"/>
    <w:rsid w:val="00616707"/>
    <w:rsid w:val="006365EB"/>
    <w:rsid w:val="00650F23"/>
    <w:rsid w:val="00683B58"/>
    <w:rsid w:val="0075734E"/>
    <w:rsid w:val="007E4172"/>
    <w:rsid w:val="00810B1C"/>
    <w:rsid w:val="009173A6"/>
    <w:rsid w:val="009A53CC"/>
    <w:rsid w:val="009E08FD"/>
    <w:rsid w:val="00AE1930"/>
    <w:rsid w:val="00B013C8"/>
    <w:rsid w:val="00B159D8"/>
    <w:rsid w:val="00B41368"/>
    <w:rsid w:val="00B87D50"/>
    <w:rsid w:val="00B907FA"/>
    <w:rsid w:val="00BA16D5"/>
    <w:rsid w:val="00BB6A41"/>
    <w:rsid w:val="00C26D94"/>
    <w:rsid w:val="00C41B6F"/>
    <w:rsid w:val="00C606C7"/>
    <w:rsid w:val="00D5637B"/>
    <w:rsid w:val="00D64800"/>
    <w:rsid w:val="00D961DA"/>
    <w:rsid w:val="00DA3AE5"/>
    <w:rsid w:val="00DC6F0D"/>
    <w:rsid w:val="00DE3940"/>
    <w:rsid w:val="00EE0A8C"/>
    <w:rsid w:val="00F02A94"/>
    <w:rsid w:val="00F20D57"/>
    <w:rsid w:val="00F8151F"/>
    <w:rsid w:val="00FD5146"/>
    <w:rsid w:val="59FFD6DF"/>
    <w:rsid w:val="7DD1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13"/>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4"/>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lang w:eastAsia="en-US"/>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semiHidden/>
    <w:unhideWhenUsed/>
    <w:qFormat/>
    <w:uiPriority w:val="99"/>
    <w:pPr>
      <w:snapToGrid w:val="0"/>
      <w:jc w:val="left"/>
    </w:pPr>
    <w:rPr>
      <w:sz w:val="18"/>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正文文本 字符"/>
    <w:basedOn w:val="10"/>
    <w:link w:val="3"/>
    <w:qFormat/>
    <w:uiPriority w:val="0"/>
    <w:rPr>
      <w:rFonts w:ascii="宋体" w:hAnsi="宋体" w:eastAsia="宋体" w:cs="宋体"/>
      <w:snapToGrid w:val="0"/>
      <w:color w:val="000000"/>
      <w:kern w:val="0"/>
      <w:sz w:val="24"/>
      <w:szCs w:val="24"/>
      <w:lang w:eastAsia="en-US"/>
    </w:rPr>
  </w:style>
  <w:style w:type="character" w:customStyle="1" w:styleId="14">
    <w:name w:val="页脚 字符"/>
    <w:basedOn w:val="10"/>
    <w:link w:val="5"/>
    <w:qFormat/>
    <w:uiPriority w:val="0"/>
    <w:rPr>
      <w:rFonts w:ascii="Arial" w:hAnsi="Arial" w:eastAsia="Arial" w:cs="Arial"/>
      <w:snapToGrid w:val="0"/>
      <w:color w:val="000000"/>
      <w:kern w:val="0"/>
      <w:sz w:val="18"/>
      <w:szCs w:val="21"/>
      <w:lang w:eastAsia="en-US"/>
    </w:rPr>
  </w:style>
  <w:style w:type="paragraph" w:styleId="15">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lang w:eastAsia="en-US"/>
    </w:rPr>
  </w:style>
  <w:style w:type="character" w:customStyle="1" w:styleId="16">
    <w:name w:val="页眉 字符"/>
    <w:basedOn w:val="10"/>
    <w:link w:val="6"/>
    <w:qFormat/>
    <w:uiPriority w:val="99"/>
    <w:rPr>
      <w:kern w:val="2"/>
      <w:sz w:val="18"/>
      <w:szCs w:val="18"/>
    </w:rPr>
  </w:style>
  <w:style w:type="character" w:customStyle="1" w:styleId="17">
    <w:name w:val="批注框文本 字符"/>
    <w:basedOn w:val="10"/>
    <w:link w:val="4"/>
    <w:semiHidden/>
    <w:qFormat/>
    <w:uiPriority w:val="99"/>
    <w:rPr>
      <w:kern w:val="2"/>
      <w:sz w:val="18"/>
      <w:szCs w:val="18"/>
    </w:rPr>
  </w:style>
  <w:style w:type="character" w:customStyle="1" w:styleId="18">
    <w:name w:val="批注文字 字符"/>
    <w:basedOn w:val="10"/>
    <w:link w:val="2"/>
    <w:semiHidden/>
    <w:qFormat/>
    <w:uiPriority w:val="99"/>
    <w:rPr>
      <w:kern w:val="2"/>
      <w:sz w:val="21"/>
      <w:szCs w:val="22"/>
    </w:rPr>
  </w:style>
  <w:style w:type="character" w:customStyle="1" w:styleId="19">
    <w:name w:val="批注主题 字符"/>
    <w:basedOn w:val="18"/>
    <w:link w:val="8"/>
    <w:semiHidden/>
    <w:qFormat/>
    <w:uiPriority w:val="99"/>
    <w:rPr>
      <w:b/>
      <w:bCs/>
      <w:kern w:val="2"/>
      <w:sz w:val="21"/>
      <w:szCs w:val="22"/>
    </w:rPr>
  </w:style>
  <w:style w:type="character" w:customStyle="1" w:styleId="20">
    <w:name w:val="脚注文本 字符"/>
    <w:basedOn w:val="10"/>
    <w:link w:val="7"/>
    <w:semiHidden/>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1F73D-0AD2-4F2C-9D56-A3DBE88659AF}">
  <ds:schemaRefs/>
</ds:datastoreItem>
</file>

<file path=docProps/app.xml><?xml version="1.0" encoding="utf-8"?>
<Properties xmlns="http://schemas.openxmlformats.org/officeDocument/2006/extended-properties" xmlns:vt="http://schemas.openxmlformats.org/officeDocument/2006/docPropsVTypes">
  <Template>Normal</Template>
  <Company>ccb</Company>
  <Pages>9</Pages>
  <Words>570</Words>
  <Characters>3252</Characters>
  <Lines>27</Lines>
  <Paragraphs>7</Paragraphs>
  <TotalTime>8</TotalTime>
  <ScaleCrop>false</ScaleCrop>
  <LinksUpToDate>false</LinksUpToDate>
  <CharactersWithSpaces>3815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2026-05-09T19:26:00Z</dcterms:created>
  <dc:creator>Apache POI</dc:creator>
  <cp:lastModifiedBy>ccb</cp:lastModifiedBy>
  <cp:lastPrinted>2026-05-06T15:07:00Z</cp:lastPrinted>
  <dcterms:modified xsi:type="dcterms:W3CDTF">2026-05-15T15:01:11Z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0141F1B9721428A6B7C4066A6F618A5E_43</vt:lpwstr>
  </property>
</Properties>
</file>