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彩虹小标宋" w:hAnsi="宋体" w:eastAsia="彩虹小标宋" w:cs="Times New Roman"/>
          <w:bCs/>
          <w:snapToGrid w:val="0"/>
          <w:kern w:val="0"/>
          <w:sz w:val="44"/>
          <w:szCs w:val="44"/>
        </w:rPr>
      </w:pPr>
      <w:r>
        <w:rPr>
          <w:rFonts w:hint="eastAsia" w:ascii="彩虹小标宋" w:hAnsi="宋体" w:eastAsia="彩虹小标宋" w:cs="Times New Roman"/>
          <w:bCs/>
          <w:snapToGrid w:val="0"/>
          <w:kern w:val="0"/>
          <w:sz w:val="44"/>
          <w:szCs w:val="44"/>
        </w:rPr>
        <w:t>广西九地市房地产市场数据采购需求</w:t>
      </w:r>
    </w:p>
    <w:p>
      <w:pPr>
        <w:spacing w:line="360" w:lineRule="auto"/>
        <w:ind w:firstLine="645"/>
        <w:rPr>
          <w:rFonts w:ascii="彩虹粗仿宋" w:hAnsi="宋体" w:eastAsia="彩虹粗仿宋" w:cs="Times New Roman"/>
          <w:snapToGrid w:val="0"/>
          <w:color w:val="FF0000"/>
          <w:kern w:val="0"/>
          <w:sz w:val="32"/>
          <w:szCs w:val="32"/>
        </w:rPr>
      </w:pPr>
      <w:r>
        <w:rPr>
          <w:rFonts w:hint="eastAsia" w:ascii="彩虹粗仿宋" w:hAnsi="宋体" w:eastAsia="彩虹粗仿宋" w:cs="Times New Roman"/>
          <w:b/>
          <w:snapToGrid w:val="0"/>
          <w:kern w:val="0"/>
          <w:sz w:val="32"/>
          <w:szCs w:val="32"/>
        </w:rPr>
        <w:t>一、服务内容</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本次拟采购的房地产市场数据内容涵盖南宁、桂林、柳州、贵港、北海、防城港、钦州、贺州、百色等9个地市范围内的新房及二手房市场宏观成交数据、具体楼盘成交数据、法拍房市场数据（上新、拍卖、成交、流拍全链路数据）、土拍信息、当地月度市场分析报告、当地最新房地产政策等</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供应商通过提供数据库系统专用账号的形式，可由我行随时查询及下载数据和报告。具体数据需求如下：</w:t>
      </w:r>
    </w:p>
    <w:p>
      <w:pPr>
        <w:adjustRightInd w:val="0"/>
        <w:snapToGrid w:val="0"/>
        <w:spacing w:line="360" w:lineRule="auto"/>
        <w:ind w:firstLine="640" w:firstLineChars="200"/>
        <w:jc w:val="center"/>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数据库应用系统功能清单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2145"/>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序号</w:t>
            </w:r>
          </w:p>
        </w:tc>
        <w:tc>
          <w:tcPr>
            <w:tcW w:w="2145" w:type="dxa"/>
            <w:vAlign w:val="center"/>
          </w:tcPr>
          <w:p>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数据类型</w:t>
            </w:r>
          </w:p>
        </w:tc>
        <w:tc>
          <w:tcPr>
            <w:tcW w:w="5483" w:type="dxa"/>
            <w:vAlign w:val="center"/>
          </w:tcPr>
          <w:p>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数据库应用系统功能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1</w:t>
            </w:r>
          </w:p>
        </w:tc>
        <w:tc>
          <w:tcPr>
            <w:tcW w:w="2145" w:type="dxa"/>
            <w:vAlign w:val="center"/>
          </w:tcPr>
          <w:p>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新房宏观成交数据</w:t>
            </w:r>
          </w:p>
        </w:tc>
        <w:tc>
          <w:tcPr>
            <w:tcW w:w="5483" w:type="dxa"/>
            <w:vAlign w:val="center"/>
          </w:tcPr>
          <w:p>
            <w:pPr>
              <w:adjustRightInd w:val="0"/>
              <w:snapToGrid w:val="0"/>
              <w:spacing w:line="360" w:lineRule="auto"/>
              <w:jc w:val="left"/>
              <w:rPr>
                <w:rFonts w:ascii="宋体" w:hAnsi="宋体" w:eastAsia="宋体" w:cs="宋体"/>
                <w:snapToGrid w:val="0"/>
                <w:kern w:val="0"/>
                <w:szCs w:val="21"/>
              </w:rPr>
            </w:pPr>
            <w:r>
              <w:rPr>
                <w:rFonts w:hint="eastAsia" w:ascii="宋体" w:hAnsi="宋体" w:eastAsia="宋体" w:cs="宋体"/>
                <w:snapToGrid w:val="0"/>
                <w:kern w:val="0"/>
                <w:szCs w:val="21"/>
              </w:rPr>
              <w:t>支持按地市、按具体时间段，查询并下载新建商品住宅、新建商品房、商用房、保障房、车位等维度的成交数据，成交数据需包括成交套数、成交面积、成交金额、成交均价等字段。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2</w:t>
            </w:r>
          </w:p>
        </w:tc>
        <w:tc>
          <w:tcPr>
            <w:tcW w:w="2145" w:type="dxa"/>
            <w:vAlign w:val="center"/>
          </w:tcPr>
          <w:p>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具体楼盘成交数据</w:t>
            </w:r>
          </w:p>
        </w:tc>
        <w:tc>
          <w:tcPr>
            <w:tcW w:w="5483" w:type="dxa"/>
            <w:vAlign w:val="center"/>
          </w:tcPr>
          <w:p>
            <w:pPr>
              <w:adjustRightInd w:val="0"/>
              <w:snapToGrid w:val="0"/>
              <w:spacing w:line="360" w:lineRule="auto"/>
              <w:jc w:val="left"/>
              <w:rPr>
                <w:rFonts w:ascii="宋体" w:hAnsi="宋体" w:eastAsia="宋体" w:cs="宋体"/>
                <w:snapToGrid w:val="0"/>
                <w:kern w:val="0"/>
                <w:szCs w:val="21"/>
              </w:rPr>
            </w:pPr>
            <w:r>
              <w:rPr>
                <w:rFonts w:hint="eastAsia" w:ascii="宋体" w:hAnsi="宋体" w:eastAsia="宋体" w:cs="宋体"/>
                <w:snapToGrid w:val="0"/>
                <w:kern w:val="0"/>
                <w:szCs w:val="21"/>
              </w:rPr>
              <w:t>1.支持按地市、按具体时间段，查询并下载所有在售楼盘的商品住宅、商品房维度的成交数据，包括楼盘名称、所属区县、板块、成交套数、成交面积、成交金额、成交均价等字段。</w:t>
            </w:r>
          </w:p>
          <w:p>
            <w:pPr>
              <w:adjustRightInd w:val="0"/>
              <w:snapToGrid w:val="0"/>
              <w:spacing w:line="360" w:lineRule="auto"/>
              <w:jc w:val="left"/>
              <w:rPr>
                <w:rFonts w:ascii="宋体" w:hAnsi="宋体" w:eastAsia="宋体" w:cs="宋体"/>
                <w:snapToGrid w:val="0"/>
                <w:kern w:val="0"/>
                <w:szCs w:val="21"/>
              </w:rPr>
            </w:pPr>
            <w:r>
              <w:rPr>
                <w:rFonts w:hint="eastAsia" w:ascii="宋体" w:hAnsi="宋体" w:eastAsia="宋体" w:cs="宋体"/>
                <w:snapToGrid w:val="0"/>
                <w:kern w:val="0"/>
                <w:szCs w:val="21"/>
              </w:rPr>
              <w:t>2.数据库应用系统设置项目、企业排行榜，按照成交套数/成交金额对所有楼盘进行排序，按照成交套数/成交金额对企业集团进行排行。</w:t>
            </w:r>
          </w:p>
          <w:p>
            <w:pPr>
              <w:adjustRightInd w:val="0"/>
              <w:snapToGrid w:val="0"/>
              <w:spacing w:line="360" w:lineRule="auto"/>
              <w:jc w:val="left"/>
              <w:rPr>
                <w:rFonts w:ascii="宋体" w:hAnsi="宋体" w:eastAsia="宋体" w:cs="宋体"/>
                <w:snapToGrid w:val="0"/>
                <w:kern w:val="0"/>
                <w:szCs w:val="21"/>
              </w:rPr>
            </w:pPr>
            <w:r>
              <w:rPr>
                <w:rFonts w:hint="eastAsia" w:ascii="宋体" w:hAnsi="宋体" w:eastAsia="宋体" w:cs="宋体"/>
                <w:snapToGrid w:val="0"/>
                <w:kern w:val="0"/>
                <w:szCs w:val="21"/>
              </w:rPr>
              <w:t>3.数据库应用系统设置楼盘地图，在地图上标出楼盘项目的位置。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3</w:t>
            </w:r>
          </w:p>
        </w:tc>
        <w:tc>
          <w:tcPr>
            <w:tcW w:w="2145" w:type="dxa"/>
            <w:vAlign w:val="center"/>
          </w:tcPr>
          <w:p>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土拍信息</w:t>
            </w:r>
          </w:p>
        </w:tc>
        <w:tc>
          <w:tcPr>
            <w:tcW w:w="5483" w:type="dxa"/>
            <w:vAlign w:val="center"/>
          </w:tcPr>
          <w:p>
            <w:pPr>
              <w:adjustRightInd w:val="0"/>
              <w:snapToGrid w:val="0"/>
              <w:spacing w:line="360" w:lineRule="auto"/>
              <w:jc w:val="left"/>
              <w:rPr>
                <w:rFonts w:ascii="宋体" w:hAnsi="宋体" w:eastAsia="宋体" w:cs="宋体"/>
                <w:snapToGrid w:val="0"/>
                <w:kern w:val="0"/>
                <w:szCs w:val="21"/>
              </w:rPr>
            </w:pPr>
            <w:r>
              <w:rPr>
                <w:rFonts w:hint="eastAsia" w:ascii="宋体" w:hAnsi="宋体" w:eastAsia="宋体" w:cs="宋体"/>
                <w:snapToGrid w:val="0"/>
                <w:kern w:val="0"/>
                <w:szCs w:val="21"/>
              </w:rPr>
              <w:t>1.支持按地市、按具体时间段，查询并下载当地土拍信息，包括地块名称、地块编号、建设用地面积、规划建筑面积、用地性质、容积率、成交时间、成交价、受让单位等字段。</w:t>
            </w:r>
          </w:p>
          <w:p>
            <w:pPr>
              <w:adjustRightInd w:val="0"/>
              <w:snapToGrid w:val="0"/>
              <w:spacing w:line="360" w:lineRule="auto"/>
              <w:jc w:val="left"/>
              <w:rPr>
                <w:rFonts w:ascii="宋体" w:hAnsi="宋体" w:eastAsia="宋体" w:cs="宋体"/>
                <w:snapToGrid w:val="0"/>
                <w:kern w:val="0"/>
                <w:szCs w:val="21"/>
              </w:rPr>
            </w:pPr>
            <w:r>
              <w:rPr>
                <w:rFonts w:hint="eastAsia" w:ascii="宋体" w:hAnsi="宋体" w:eastAsia="宋体" w:cs="宋体"/>
                <w:snapToGrid w:val="0"/>
                <w:kern w:val="0"/>
                <w:szCs w:val="21"/>
              </w:rPr>
              <w:t>2.数据库应用系统设置土地地图，在地图上标出成交土地的位置。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4</w:t>
            </w:r>
          </w:p>
        </w:tc>
        <w:tc>
          <w:tcPr>
            <w:tcW w:w="2145" w:type="dxa"/>
            <w:vAlign w:val="center"/>
          </w:tcPr>
          <w:p>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当地月度市场分析报告</w:t>
            </w:r>
          </w:p>
        </w:tc>
        <w:tc>
          <w:tcPr>
            <w:tcW w:w="5483" w:type="dxa"/>
            <w:vAlign w:val="center"/>
          </w:tcPr>
          <w:p>
            <w:pPr>
              <w:adjustRightInd w:val="0"/>
              <w:snapToGrid w:val="0"/>
              <w:spacing w:line="360" w:lineRule="auto"/>
              <w:jc w:val="left"/>
              <w:rPr>
                <w:rFonts w:ascii="宋体" w:hAnsi="宋体" w:eastAsia="宋体" w:cs="宋体"/>
                <w:snapToGrid w:val="0"/>
                <w:kern w:val="0"/>
                <w:szCs w:val="21"/>
              </w:rPr>
            </w:pPr>
            <w:r>
              <w:rPr>
                <w:rFonts w:hint="eastAsia" w:ascii="宋体" w:hAnsi="宋体" w:eastAsia="宋体" w:cs="宋体"/>
                <w:snapToGrid w:val="0"/>
                <w:kern w:val="0"/>
                <w:szCs w:val="21"/>
              </w:rPr>
              <w:t>支持按地市、按月查询并下载当地月度市场分析报告。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5</w:t>
            </w:r>
          </w:p>
        </w:tc>
        <w:tc>
          <w:tcPr>
            <w:tcW w:w="2145" w:type="dxa"/>
            <w:vAlign w:val="center"/>
          </w:tcPr>
          <w:p>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当地最新房地产政策</w:t>
            </w:r>
          </w:p>
        </w:tc>
        <w:tc>
          <w:tcPr>
            <w:tcW w:w="5483" w:type="dxa"/>
            <w:vAlign w:val="center"/>
          </w:tcPr>
          <w:p>
            <w:pPr>
              <w:adjustRightInd w:val="0"/>
              <w:snapToGrid w:val="0"/>
              <w:spacing w:line="360" w:lineRule="auto"/>
              <w:jc w:val="left"/>
              <w:rPr>
                <w:rFonts w:ascii="宋体" w:hAnsi="宋体" w:eastAsia="宋体" w:cs="宋体"/>
                <w:snapToGrid w:val="0"/>
                <w:kern w:val="0"/>
                <w:szCs w:val="21"/>
              </w:rPr>
            </w:pPr>
            <w:r>
              <w:rPr>
                <w:rFonts w:hint="eastAsia" w:ascii="宋体" w:hAnsi="宋体" w:eastAsia="宋体" w:cs="宋体"/>
                <w:snapToGrid w:val="0"/>
                <w:kern w:val="0"/>
                <w:szCs w:val="21"/>
              </w:rPr>
              <w:t>系统实时更新当地最新房地产政策。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6</w:t>
            </w:r>
          </w:p>
        </w:tc>
        <w:tc>
          <w:tcPr>
            <w:tcW w:w="2145" w:type="dxa"/>
            <w:vAlign w:val="center"/>
          </w:tcPr>
          <w:p>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二手房宏观成交数据</w:t>
            </w:r>
          </w:p>
        </w:tc>
        <w:tc>
          <w:tcPr>
            <w:tcW w:w="5483" w:type="dxa"/>
            <w:vAlign w:val="center"/>
          </w:tcPr>
          <w:p>
            <w:pPr>
              <w:adjustRightInd w:val="0"/>
              <w:snapToGrid w:val="0"/>
              <w:spacing w:line="360" w:lineRule="auto"/>
              <w:jc w:val="left"/>
              <w:rPr>
                <w:rFonts w:ascii="宋体" w:hAnsi="宋体" w:eastAsia="宋体" w:cs="宋体"/>
                <w:snapToGrid w:val="0"/>
                <w:kern w:val="0"/>
                <w:szCs w:val="21"/>
              </w:rPr>
            </w:pPr>
            <w:r>
              <w:rPr>
                <w:rFonts w:hint="eastAsia" w:ascii="宋体" w:hAnsi="宋体" w:eastAsia="宋体" w:cs="宋体"/>
                <w:snapToGrid w:val="0"/>
                <w:kern w:val="0"/>
                <w:szCs w:val="21"/>
              </w:rPr>
              <w:t>支持按地市、按具体时间段，查询并下载商品住宅、商品房等维度的成交数据，成交数据需包括成交套数、成交面积、成交金额、成交均价等字段。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7</w:t>
            </w:r>
          </w:p>
        </w:tc>
        <w:tc>
          <w:tcPr>
            <w:tcW w:w="2145" w:type="dxa"/>
            <w:vAlign w:val="center"/>
          </w:tcPr>
          <w:p>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法拍房市场数据</w:t>
            </w:r>
          </w:p>
        </w:tc>
        <w:tc>
          <w:tcPr>
            <w:tcW w:w="5483" w:type="dxa"/>
            <w:vAlign w:val="center"/>
          </w:tcPr>
          <w:p>
            <w:pPr>
              <w:adjustRightInd w:val="0"/>
              <w:snapToGrid w:val="0"/>
              <w:spacing w:line="360" w:lineRule="auto"/>
              <w:jc w:val="left"/>
              <w:rPr>
                <w:rFonts w:ascii="宋体" w:hAnsi="宋体" w:eastAsia="宋体" w:cs="宋体"/>
                <w:snapToGrid w:val="0"/>
                <w:kern w:val="0"/>
                <w:szCs w:val="21"/>
              </w:rPr>
            </w:pPr>
            <w:r>
              <w:rPr>
                <w:rFonts w:hint="eastAsia" w:ascii="宋体" w:hAnsi="宋体" w:eastAsia="宋体" w:cs="宋体"/>
                <w:snapToGrid w:val="0"/>
                <w:kern w:val="0"/>
                <w:szCs w:val="21"/>
              </w:rPr>
              <w:t>支持按地市、按具体时间段，查询并下载住宅、商用房等维度正在进行、即将开始、成交、流拍的全链路数据，包括新上拍品数、总拍品数、成交拍品数、成交建筑面积、成交金额、成交均价等字段。</w:t>
            </w:r>
          </w:p>
        </w:tc>
      </w:tr>
    </w:tbl>
    <w:p>
      <w:pPr>
        <w:adjustRightInd w:val="0"/>
        <w:snapToGrid w:val="0"/>
        <w:spacing w:line="360" w:lineRule="auto"/>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二、供应商基本要求</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（一）公司成立</w:t>
      </w:r>
      <w:r>
        <w:rPr>
          <w:rFonts w:hint="eastAsia" w:ascii="彩虹粗仿宋" w:hAnsi="宋体" w:eastAsia="彩虹粗仿宋" w:cs="Times New Roman"/>
          <w:snapToGrid w:val="0"/>
          <w:kern w:val="0"/>
          <w:sz w:val="32"/>
          <w:szCs w:val="32"/>
          <w:lang w:eastAsia="zh-CN"/>
        </w:rPr>
        <w:t>一</w:t>
      </w:r>
      <w:r>
        <w:rPr>
          <w:rFonts w:hint="eastAsia" w:ascii="彩虹粗仿宋" w:hAnsi="宋体" w:eastAsia="彩虹粗仿宋" w:cs="Times New Roman"/>
          <w:snapToGrid w:val="0"/>
          <w:kern w:val="0"/>
          <w:sz w:val="32"/>
          <w:szCs w:val="32"/>
        </w:rPr>
        <w:t>年以上；</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（二）有房地产市场数据服务类案例；</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（三）有自主研发且已正式投入使用的房地产</w:t>
      </w:r>
      <w:r>
        <w:rPr>
          <w:rFonts w:hint="eastAsia" w:ascii="彩虹粗仿宋" w:hAnsi="宋体" w:eastAsia="彩虹粗仿宋" w:cs="Times New Roman"/>
          <w:snapToGrid w:val="0"/>
          <w:kern w:val="0"/>
          <w:sz w:val="32"/>
          <w:szCs w:val="32"/>
          <w:lang w:eastAsia="zh-CN"/>
        </w:rPr>
        <w:t>市场</w:t>
      </w:r>
      <w:r>
        <w:rPr>
          <w:rFonts w:hint="eastAsia" w:ascii="彩虹粗仿宋" w:hAnsi="宋体" w:eastAsia="彩虹粗仿宋" w:cs="Times New Roman"/>
          <w:snapToGrid w:val="0"/>
          <w:kern w:val="0"/>
          <w:sz w:val="32"/>
          <w:szCs w:val="32"/>
        </w:rPr>
        <w:t>数据系统</w:t>
      </w:r>
      <w:r>
        <w:rPr>
          <w:rFonts w:hint="eastAsia" w:ascii="彩虹粗仿宋" w:hAnsi="宋体" w:eastAsia="彩虹粗仿宋" w:cs="Times New Roman"/>
          <w:snapToGrid w:val="0"/>
          <w:kern w:val="0"/>
          <w:sz w:val="32"/>
          <w:szCs w:val="32"/>
          <w:lang w:eastAsia="zh-CN"/>
        </w:rPr>
        <w:t>（供应商需提交：</w:t>
      </w:r>
      <w:r>
        <w:rPr>
          <w:rFonts w:hint="eastAsia" w:ascii="彩虹粗仿宋" w:hAnsi="宋体" w:eastAsia="彩虹粗仿宋" w:cs="Times New Roman"/>
          <w:snapToGrid w:val="0"/>
          <w:kern w:val="0"/>
          <w:sz w:val="32"/>
          <w:szCs w:val="32"/>
          <w:lang w:val="en-US" w:eastAsia="zh-CN"/>
        </w:rPr>
        <w:t>1.</w:t>
      </w:r>
      <w:r>
        <w:rPr>
          <w:rFonts w:hint="eastAsia" w:ascii="彩虹粗仿宋" w:hAnsi="宋体" w:eastAsia="彩虹粗仿宋" w:cs="Times New Roman"/>
          <w:snapToGrid w:val="0"/>
          <w:kern w:val="0"/>
          <w:sz w:val="32"/>
          <w:szCs w:val="32"/>
        </w:rPr>
        <w:t>计算机软件著作权登记证书</w:t>
      </w:r>
      <w:r>
        <w:rPr>
          <w:rFonts w:hint="eastAsia" w:ascii="彩虹粗仿宋" w:hAnsi="宋体" w:eastAsia="彩虹粗仿宋" w:cs="Times New Roman"/>
          <w:snapToGrid w:val="0"/>
          <w:kern w:val="0"/>
          <w:sz w:val="32"/>
          <w:szCs w:val="32"/>
          <w:lang w:eastAsia="zh-CN"/>
        </w:rPr>
        <w:t>扫描件；</w:t>
      </w:r>
      <w:r>
        <w:rPr>
          <w:rFonts w:hint="eastAsia" w:ascii="彩虹粗仿宋" w:hAnsi="宋体" w:eastAsia="彩虹粗仿宋" w:cs="Times New Roman"/>
          <w:snapToGrid w:val="0"/>
          <w:kern w:val="0"/>
          <w:sz w:val="32"/>
          <w:szCs w:val="32"/>
          <w:lang w:val="en-US" w:eastAsia="zh-CN"/>
        </w:rPr>
        <w:t>2.</w:t>
      </w:r>
      <w:r>
        <w:rPr>
          <w:rFonts w:hint="eastAsia" w:ascii="彩虹粗仿宋" w:hAnsi="宋体" w:eastAsia="彩虹粗仿宋" w:cs="Times New Roman"/>
          <w:snapToGrid w:val="0"/>
          <w:kern w:val="0"/>
          <w:sz w:val="32"/>
          <w:szCs w:val="32"/>
        </w:rPr>
        <w:t>房地产市场数据系统</w:t>
      </w:r>
      <w:r>
        <w:rPr>
          <w:rFonts w:hint="eastAsia" w:ascii="彩虹粗仿宋" w:hAnsi="宋体" w:eastAsia="彩虹粗仿宋" w:cs="Times New Roman"/>
          <w:snapToGrid w:val="0"/>
          <w:kern w:val="0"/>
          <w:sz w:val="32"/>
          <w:szCs w:val="32"/>
          <w:lang w:eastAsia="zh-CN"/>
        </w:rPr>
        <w:t>截图，截图内容需涵盖：</w:t>
      </w:r>
      <w:r>
        <w:rPr>
          <w:rFonts w:hint="eastAsia" w:ascii="彩虹粗仿宋" w:hAnsi="宋体" w:eastAsia="彩虹粗仿宋" w:cs="Times New Roman"/>
          <w:snapToGrid w:val="0"/>
          <w:kern w:val="0"/>
          <w:sz w:val="32"/>
          <w:szCs w:val="32"/>
          <w:lang w:val="en-US" w:eastAsia="zh-CN"/>
        </w:rPr>
        <w:t>1张</w:t>
      </w:r>
      <w:r>
        <w:rPr>
          <w:rFonts w:hint="eastAsia" w:ascii="彩虹粗仿宋" w:hAnsi="宋体" w:eastAsia="彩虹粗仿宋" w:cs="Times New Roman"/>
          <w:snapToGrid w:val="0"/>
          <w:kern w:val="0"/>
          <w:sz w:val="32"/>
          <w:szCs w:val="32"/>
          <w:lang w:eastAsia="zh-CN"/>
        </w:rPr>
        <w:t>系统登录界面截图、至少</w:t>
      </w:r>
      <w:r>
        <w:rPr>
          <w:rFonts w:hint="eastAsia" w:ascii="彩虹粗仿宋" w:hAnsi="宋体" w:eastAsia="彩虹粗仿宋" w:cs="Times New Roman"/>
          <w:snapToGrid w:val="0"/>
          <w:kern w:val="0"/>
          <w:sz w:val="32"/>
          <w:szCs w:val="32"/>
          <w:lang w:val="en-US" w:eastAsia="zh-CN"/>
        </w:rPr>
        <w:t>10张系统应用</w:t>
      </w:r>
      <w:r>
        <w:rPr>
          <w:rFonts w:hint="eastAsia" w:ascii="彩虹粗仿宋" w:hAnsi="宋体" w:eastAsia="彩虹粗仿宋" w:cs="Times New Roman"/>
          <w:snapToGrid w:val="0"/>
          <w:kern w:val="0"/>
          <w:sz w:val="32"/>
          <w:szCs w:val="32"/>
          <w:lang w:eastAsia="zh-CN"/>
        </w:rPr>
        <w:t>界面截图）</w:t>
      </w:r>
      <w:r>
        <w:rPr>
          <w:rFonts w:hint="eastAsia" w:ascii="彩虹粗仿宋" w:hAnsi="宋体" w:eastAsia="彩虹粗仿宋" w:cs="Times New Roman"/>
          <w:snapToGrid w:val="0"/>
          <w:kern w:val="0"/>
          <w:sz w:val="32"/>
          <w:szCs w:val="32"/>
        </w:rPr>
        <w:t>。</w:t>
      </w:r>
      <w:bookmarkStart w:id="0" w:name="_GoBack"/>
      <w:bookmarkEnd w:id="0"/>
    </w:p>
    <w:p>
      <w:pPr>
        <w:spacing w:line="360" w:lineRule="auto"/>
        <w:ind w:firstLine="640"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snapToGrid w:val="0"/>
          <w:kern w:val="0"/>
          <w:sz w:val="32"/>
          <w:szCs w:val="32"/>
        </w:rPr>
        <w:t>三、</w:t>
      </w:r>
      <w:r>
        <w:rPr>
          <w:rFonts w:hint="eastAsia" w:ascii="彩虹粗仿宋" w:hAnsi="宋体" w:eastAsia="彩虹粗仿宋" w:cs="Times New Roman"/>
          <w:b/>
          <w:snapToGrid w:val="0"/>
          <w:kern w:val="0"/>
          <w:sz w:val="32"/>
          <w:szCs w:val="32"/>
        </w:rPr>
        <w:t>服务质量要求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（一）保证其所提供的数据库应用系统须为已正式上线运行的成熟版本，数据至少应包括2024年1月至今的房地产市场数据，每月至少更新一次数据，且当月数据应最迟于次月20日前完成更新。</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二）保证其所提供的应用系统及该系统中的相关内容合法、不侵犯任何第三方合法权益；保证数据库应用系统及该系统中的相关内容不存在任何木马、病毒、诽谤、恐吓或骚扰等违反国家法律、法规、规范性文件的内容，并保证采取不低于现有安全防护技术的措施保护数据库应用系统不被黑客攻击并保护我行的账户及其他信息安全；保证我行不会因使用数据库应用系统或该系统中的数据、内容而被任何第三方追究侵权责任，如违反本款约定，应赔偿因此给我行造成的全部损失。</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三）承诺其及其提供的产品或服务均已通过国家、行业认可的信息安全管理体系认证，并接受我行（如需）、中国证监会及其派出机构的信息安全延伸检查；提供的产品或服务不存在恶意代码或未授权的连接功能（软件后门），不提供违反法律法规的操作模块、功能和手段。承诺已对全体员工开展必要的信息安全培训、教育和考核，员工进行现场作业时，应遵守我行信息安全要求，否则将承担相应的违约赔偿责任。</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（四）保证拥有软件的完全知识产权，不侵犯任何第三方的合法权益。否则，对我行使用供应商提供的产品和服务而引起我行的所有损失，将由供应商负责承担和处理。</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五）未经对方许可，任何一方不得向第三方（有关法律、法规、政府部门、证券交易所或其他监管机构要求和双方的法律、会计、商业及其他顾问、雇员除外）披露通过签订和履行本合同而获知的对方及对方关联公司的任何信息。否则，守约方有权向违约方就其实际收到的损失请求损失赔偿，并依法追究法律责任。</w:t>
      </w:r>
    </w:p>
    <w:p>
      <w:pPr>
        <w:spacing w:line="360" w:lineRule="auto"/>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四、服务数量要求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供应商提供数据库应用系统账号至少</w:t>
      </w:r>
      <w:r>
        <w:rPr>
          <w:rFonts w:hint="eastAsia" w:ascii="彩虹粗仿宋" w:hAnsi="宋体" w:eastAsia="彩虹粗仿宋" w:cs="Times New Roman"/>
          <w:snapToGrid w:val="0"/>
          <w:kern w:val="0"/>
          <w:sz w:val="32"/>
          <w:szCs w:val="32"/>
          <w:u w:val="single"/>
        </w:rPr>
        <w:t>20</w:t>
      </w:r>
      <w:r>
        <w:rPr>
          <w:rFonts w:hint="eastAsia" w:ascii="彩虹粗仿宋" w:hAnsi="宋体" w:eastAsia="彩虹粗仿宋" w:cs="Times New Roman"/>
          <w:snapToGrid w:val="0"/>
          <w:kern w:val="0"/>
          <w:sz w:val="32"/>
          <w:szCs w:val="32"/>
        </w:rPr>
        <w:t>个，由我行根据业务情况分配人员使用。</w:t>
      </w:r>
    </w:p>
    <w:p>
      <w:pPr>
        <w:spacing w:line="360" w:lineRule="auto"/>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五、服务供应安排</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（一）服务期限为自合同生效之日起</w:t>
      </w:r>
      <w:r>
        <w:rPr>
          <w:rFonts w:hint="eastAsia" w:ascii="彩虹粗仿宋" w:hAnsi="宋体" w:eastAsia="彩虹粗仿宋" w:cs="Times New Roman"/>
          <w:snapToGrid w:val="0"/>
          <w:kern w:val="0"/>
          <w:sz w:val="32"/>
          <w:szCs w:val="32"/>
          <w:lang w:val="en-US" w:eastAsia="zh-CN"/>
        </w:rPr>
        <w:t>1.5年</w:t>
      </w:r>
      <w:r>
        <w:rPr>
          <w:rFonts w:hint="eastAsia" w:ascii="彩虹粗仿宋" w:hAnsi="宋体" w:eastAsia="彩虹粗仿宋" w:cs="Times New Roman"/>
          <w:snapToGrid w:val="0"/>
          <w:kern w:val="0"/>
          <w:sz w:val="32"/>
          <w:szCs w:val="32"/>
        </w:rPr>
        <w:t>。</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（二）在合同有效期内，如供应商的数据库系统故障或存在其他问题导致我行无法完全使用，则供应商应为我行补偿同等时间，即供应商向我行提供服务的服务期限应相应顺延。</w:t>
      </w:r>
    </w:p>
    <w:p>
      <w:pPr>
        <w:adjustRightInd w:val="0"/>
        <w:snapToGrid w:val="0"/>
        <w:spacing w:line="360" w:lineRule="auto"/>
        <w:ind w:firstLine="643" w:firstLineChars="200"/>
        <w:rPr>
          <w:rFonts w:ascii="彩虹粗仿宋" w:hAnsi="宋体" w:eastAsia="彩虹粗仿宋" w:cs="Times New Roman"/>
          <w:b/>
          <w:snapToGrid w:val="0"/>
          <w:color w:val="FF0000"/>
          <w:kern w:val="0"/>
          <w:sz w:val="32"/>
          <w:szCs w:val="32"/>
        </w:rPr>
      </w:pPr>
      <w:r>
        <w:rPr>
          <w:rFonts w:hint="eastAsia" w:ascii="彩虹粗仿宋" w:hAnsi="宋体" w:eastAsia="彩虹粗仿宋" w:cs="Times New Roman"/>
          <w:b/>
          <w:snapToGrid w:val="0"/>
          <w:kern w:val="0"/>
          <w:sz w:val="32"/>
          <w:szCs w:val="32"/>
        </w:rPr>
        <w:t>六、款项支付要求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采取分期付款方式，分2期付款：</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（一）自合同签订之日后 20个工作日内，供应商开具增值税专用发票，我行收到发票之日起30个工作日内，向供应商支付合同金额的</w:t>
      </w:r>
      <w:r>
        <w:rPr>
          <w:rFonts w:hint="eastAsia" w:ascii="彩虹粗仿宋" w:hAnsi="宋体" w:eastAsia="彩虹粗仿宋" w:cs="Times New Roman"/>
          <w:snapToGrid w:val="0"/>
          <w:kern w:val="0"/>
          <w:sz w:val="32"/>
          <w:szCs w:val="32"/>
          <w:lang w:val="en-US" w:eastAsia="zh-CN"/>
        </w:rPr>
        <w:t>40</w:t>
      </w:r>
      <w:r>
        <w:rPr>
          <w:rFonts w:hint="eastAsia" w:ascii="彩虹粗仿宋" w:hAnsi="宋体" w:eastAsia="彩虹粗仿宋" w:cs="Times New Roman"/>
          <w:snapToGrid w:val="0"/>
          <w:kern w:val="0"/>
          <w:sz w:val="32"/>
          <w:szCs w:val="32"/>
        </w:rPr>
        <w:t>%；</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（二）合同生效满一年后，在供应商无违约情形的情况下，供应商开具增值税专用发票，我行收到发票之日起30个工作日内，向供应商支付合同金额的</w:t>
      </w:r>
      <w:r>
        <w:rPr>
          <w:rFonts w:hint="eastAsia" w:ascii="彩虹粗仿宋" w:hAnsi="宋体" w:eastAsia="彩虹粗仿宋" w:cs="Times New Roman"/>
          <w:snapToGrid w:val="0"/>
          <w:kern w:val="0"/>
          <w:sz w:val="32"/>
          <w:szCs w:val="32"/>
          <w:lang w:val="en-US" w:eastAsia="zh-CN"/>
        </w:rPr>
        <w:t>60</w:t>
      </w:r>
      <w:r>
        <w:rPr>
          <w:rFonts w:hint="eastAsia" w:ascii="彩虹粗仿宋" w:hAnsi="宋体" w:eastAsia="彩虹粗仿宋" w:cs="Times New Roman"/>
          <w:snapToGrid w:val="0"/>
          <w:kern w:val="0"/>
          <w:sz w:val="32"/>
          <w:szCs w:val="32"/>
        </w:rPr>
        <w:t>%；</w:t>
      </w:r>
    </w:p>
    <w:p>
      <w:pPr>
        <w:adjustRightInd w:val="0"/>
        <w:snapToGrid w:val="0"/>
        <w:spacing w:line="360" w:lineRule="auto"/>
        <w:ind w:firstLine="643" w:firstLineChars="200"/>
        <w:rPr>
          <w:rFonts w:ascii="彩虹粗仿宋" w:hAnsi="宋体" w:eastAsia="彩虹粗仿宋" w:cs="Times New Roman"/>
          <w:b/>
          <w:snapToGrid w:val="0"/>
          <w:color w:val="FF0000"/>
          <w:kern w:val="0"/>
          <w:sz w:val="32"/>
          <w:szCs w:val="32"/>
        </w:rPr>
      </w:pPr>
      <w:r>
        <w:rPr>
          <w:rFonts w:hint="eastAsia" w:ascii="彩虹粗仿宋" w:hAnsi="宋体" w:eastAsia="彩虹粗仿宋" w:cs="Times New Roman"/>
          <w:b/>
          <w:snapToGrid w:val="0"/>
          <w:kern w:val="0"/>
          <w:sz w:val="32"/>
          <w:szCs w:val="32"/>
        </w:rPr>
        <w:t>七、报价要求</w:t>
      </w:r>
    </w:p>
    <w:p>
      <w:pPr>
        <w:adjustRightInd w:val="0"/>
        <w:snapToGrid w:val="0"/>
        <w:spacing w:line="360" w:lineRule="auto"/>
        <w:ind w:firstLine="640" w:firstLineChars="200"/>
        <w:rPr>
          <w:rFonts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按照1.5年期项目总价进行报价。供应商报价单如下：</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102"/>
        <w:gridCol w:w="804"/>
        <w:gridCol w:w="804"/>
        <w:gridCol w:w="1260"/>
        <w:gridCol w:w="1152"/>
        <w:gridCol w:w="912"/>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317" w:type="dxa"/>
            <w:vAlign w:val="center"/>
          </w:tcPr>
          <w:p>
            <w:pPr>
              <w:adjustRightInd w:val="0"/>
              <w:snapToGrid w:val="0"/>
              <w:spacing w:line="360" w:lineRule="auto"/>
              <w:jc w:val="center"/>
              <w:rPr>
                <w:rFonts w:ascii="彩虹粗仿宋" w:hAnsi="彩虹粗仿宋" w:eastAsia="彩虹粗仿宋" w:cs="彩虹粗仿宋"/>
                <w:snapToGrid w:val="0"/>
                <w:kern w:val="0"/>
                <w:sz w:val="22"/>
                <w:highlight w:val="none"/>
              </w:rPr>
            </w:pPr>
            <w:r>
              <w:rPr>
                <w:rFonts w:hint="eastAsia" w:ascii="彩虹粗仿宋" w:hAnsi="彩虹粗仿宋" w:eastAsia="彩虹粗仿宋" w:cs="彩虹粗仿宋"/>
                <w:snapToGrid w:val="0"/>
                <w:kern w:val="0"/>
                <w:sz w:val="22"/>
                <w:highlight w:val="none"/>
              </w:rPr>
              <w:t>商品名称</w:t>
            </w:r>
          </w:p>
        </w:tc>
        <w:tc>
          <w:tcPr>
            <w:tcW w:w="1102" w:type="dxa"/>
            <w:vAlign w:val="center"/>
          </w:tcPr>
          <w:p>
            <w:pPr>
              <w:adjustRightInd w:val="0"/>
              <w:snapToGrid w:val="0"/>
              <w:spacing w:line="360" w:lineRule="auto"/>
              <w:jc w:val="center"/>
              <w:rPr>
                <w:rFonts w:ascii="彩虹粗仿宋" w:hAnsi="彩虹粗仿宋" w:eastAsia="彩虹粗仿宋" w:cs="彩虹粗仿宋"/>
                <w:snapToGrid w:val="0"/>
                <w:kern w:val="0"/>
                <w:sz w:val="22"/>
                <w:highlight w:val="none"/>
              </w:rPr>
            </w:pPr>
            <w:r>
              <w:rPr>
                <w:rFonts w:hint="eastAsia" w:ascii="彩虹粗仿宋" w:hAnsi="彩虹粗仿宋" w:eastAsia="彩虹粗仿宋" w:cs="彩虹粗仿宋"/>
                <w:snapToGrid w:val="0"/>
                <w:kern w:val="0"/>
                <w:sz w:val="22"/>
                <w:highlight w:val="none"/>
              </w:rPr>
              <w:t>商品品类</w:t>
            </w:r>
          </w:p>
        </w:tc>
        <w:tc>
          <w:tcPr>
            <w:tcW w:w="804" w:type="dxa"/>
            <w:vAlign w:val="center"/>
          </w:tcPr>
          <w:p>
            <w:pPr>
              <w:adjustRightInd w:val="0"/>
              <w:snapToGrid w:val="0"/>
              <w:jc w:val="center"/>
              <w:rPr>
                <w:rFonts w:ascii="彩虹粗仿宋" w:hAnsi="彩虹粗仿宋" w:eastAsia="彩虹粗仿宋" w:cs="彩虹粗仿宋"/>
                <w:snapToGrid w:val="0"/>
                <w:kern w:val="0"/>
                <w:sz w:val="22"/>
                <w:highlight w:val="none"/>
              </w:rPr>
            </w:pPr>
            <w:r>
              <w:rPr>
                <w:rFonts w:hint="eastAsia" w:ascii="彩虹粗仿宋" w:hAnsi="彩虹粗仿宋" w:eastAsia="彩虹粗仿宋" w:cs="彩虹粗仿宋"/>
                <w:snapToGrid w:val="0"/>
                <w:kern w:val="0"/>
                <w:sz w:val="22"/>
                <w:highlight w:val="none"/>
              </w:rPr>
              <w:t>计量单位</w:t>
            </w:r>
          </w:p>
        </w:tc>
        <w:tc>
          <w:tcPr>
            <w:tcW w:w="804" w:type="dxa"/>
            <w:vAlign w:val="center"/>
          </w:tcPr>
          <w:p>
            <w:pPr>
              <w:adjustRightInd w:val="0"/>
              <w:snapToGrid w:val="0"/>
              <w:spacing w:line="360" w:lineRule="auto"/>
              <w:jc w:val="center"/>
              <w:rPr>
                <w:rFonts w:ascii="彩虹粗仿宋" w:hAnsi="彩虹粗仿宋" w:eastAsia="彩虹粗仿宋" w:cs="彩虹粗仿宋"/>
                <w:snapToGrid w:val="0"/>
                <w:kern w:val="0"/>
                <w:sz w:val="22"/>
                <w:highlight w:val="none"/>
              </w:rPr>
            </w:pPr>
            <w:r>
              <w:rPr>
                <w:rFonts w:hint="eastAsia" w:ascii="彩虹粗仿宋" w:hAnsi="彩虹粗仿宋" w:eastAsia="彩虹粗仿宋" w:cs="彩虹粗仿宋"/>
                <w:snapToGrid w:val="0"/>
                <w:kern w:val="0"/>
                <w:sz w:val="22"/>
                <w:highlight w:val="none"/>
              </w:rPr>
              <w:t>数量</w:t>
            </w:r>
          </w:p>
        </w:tc>
        <w:tc>
          <w:tcPr>
            <w:tcW w:w="1260" w:type="dxa"/>
            <w:vAlign w:val="center"/>
          </w:tcPr>
          <w:p>
            <w:pPr>
              <w:adjustRightInd w:val="0"/>
              <w:snapToGrid w:val="0"/>
              <w:spacing w:line="360" w:lineRule="auto"/>
              <w:jc w:val="center"/>
              <w:rPr>
                <w:rFonts w:ascii="彩虹粗仿宋" w:hAnsi="彩虹粗仿宋" w:eastAsia="彩虹粗仿宋" w:cs="彩虹粗仿宋"/>
                <w:snapToGrid w:val="0"/>
                <w:kern w:val="0"/>
                <w:sz w:val="22"/>
                <w:highlight w:val="none"/>
              </w:rPr>
            </w:pPr>
            <w:r>
              <w:rPr>
                <w:rFonts w:hint="eastAsia" w:ascii="彩虹粗仿宋" w:hAnsi="彩虹粗仿宋" w:eastAsia="彩虹粗仿宋" w:cs="彩虹粗仿宋"/>
                <w:snapToGrid w:val="0"/>
                <w:kern w:val="0"/>
                <w:sz w:val="22"/>
                <w:highlight w:val="none"/>
              </w:rPr>
              <w:t>含税单价</w:t>
            </w:r>
          </w:p>
        </w:tc>
        <w:tc>
          <w:tcPr>
            <w:tcW w:w="1152" w:type="dxa"/>
            <w:vAlign w:val="center"/>
          </w:tcPr>
          <w:p>
            <w:pPr>
              <w:adjustRightInd w:val="0"/>
              <w:snapToGrid w:val="0"/>
              <w:spacing w:line="360" w:lineRule="auto"/>
              <w:jc w:val="center"/>
              <w:rPr>
                <w:rFonts w:ascii="彩虹粗仿宋" w:hAnsi="彩虹粗仿宋" w:eastAsia="彩虹粗仿宋" w:cs="彩虹粗仿宋"/>
                <w:snapToGrid w:val="0"/>
                <w:kern w:val="0"/>
                <w:sz w:val="22"/>
                <w:highlight w:val="none"/>
              </w:rPr>
            </w:pPr>
            <w:r>
              <w:rPr>
                <w:rFonts w:hint="eastAsia" w:ascii="彩虹粗仿宋" w:hAnsi="彩虹粗仿宋" w:eastAsia="彩虹粗仿宋" w:cs="彩虹粗仿宋"/>
                <w:snapToGrid w:val="0"/>
                <w:kern w:val="0"/>
                <w:sz w:val="22"/>
                <w:highlight w:val="none"/>
              </w:rPr>
              <w:t>含税总价</w:t>
            </w:r>
          </w:p>
        </w:tc>
        <w:tc>
          <w:tcPr>
            <w:tcW w:w="912" w:type="dxa"/>
            <w:vAlign w:val="center"/>
          </w:tcPr>
          <w:p>
            <w:pPr>
              <w:adjustRightInd w:val="0"/>
              <w:snapToGrid w:val="0"/>
              <w:spacing w:line="360" w:lineRule="auto"/>
              <w:jc w:val="center"/>
              <w:rPr>
                <w:rFonts w:ascii="彩虹粗仿宋" w:hAnsi="彩虹粗仿宋" w:eastAsia="彩虹粗仿宋" w:cs="彩虹粗仿宋"/>
                <w:snapToGrid w:val="0"/>
                <w:kern w:val="0"/>
                <w:sz w:val="22"/>
                <w:highlight w:val="none"/>
              </w:rPr>
            </w:pPr>
            <w:r>
              <w:rPr>
                <w:rFonts w:hint="eastAsia" w:ascii="彩虹粗仿宋" w:hAnsi="彩虹粗仿宋" w:eastAsia="彩虹粗仿宋" w:cs="彩虹粗仿宋"/>
                <w:snapToGrid w:val="0"/>
                <w:kern w:val="0"/>
                <w:sz w:val="22"/>
                <w:highlight w:val="none"/>
              </w:rPr>
              <w:t>税率</w:t>
            </w:r>
          </w:p>
        </w:tc>
        <w:tc>
          <w:tcPr>
            <w:tcW w:w="1404" w:type="dxa"/>
            <w:vAlign w:val="center"/>
          </w:tcPr>
          <w:p>
            <w:pPr>
              <w:adjustRightInd w:val="0"/>
              <w:snapToGrid w:val="0"/>
              <w:spacing w:line="360" w:lineRule="auto"/>
              <w:jc w:val="center"/>
              <w:rPr>
                <w:rFonts w:ascii="彩虹粗仿宋" w:hAnsi="彩虹粗仿宋" w:eastAsia="彩虹粗仿宋" w:cs="彩虹粗仿宋"/>
                <w:snapToGrid w:val="0"/>
                <w:kern w:val="0"/>
                <w:sz w:val="22"/>
                <w:highlight w:val="none"/>
              </w:rPr>
            </w:pPr>
            <w:r>
              <w:rPr>
                <w:rFonts w:hint="eastAsia" w:ascii="彩虹粗仿宋" w:hAnsi="彩虹粗仿宋" w:eastAsia="彩虹粗仿宋" w:cs="彩虹粗仿宋"/>
                <w:snapToGrid w:val="0"/>
                <w:kern w:val="0"/>
                <w:sz w:val="22"/>
                <w:highlight w:val="none"/>
              </w:rPr>
              <w:t>不含税总价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1317" w:type="dxa"/>
            <w:vAlign w:val="center"/>
          </w:tcPr>
          <w:p>
            <w:pPr>
              <w:adjustRightInd w:val="0"/>
              <w:snapToGrid w:val="0"/>
              <w:spacing w:line="360" w:lineRule="auto"/>
              <w:jc w:val="left"/>
              <w:rPr>
                <w:rFonts w:ascii="彩虹粗仿宋" w:hAnsi="彩虹粗仿宋" w:eastAsia="彩虹粗仿宋" w:cs="彩虹粗仿宋"/>
                <w:snapToGrid w:val="0"/>
                <w:kern w:val="0"/>
                <w:sz w:val="22"/>
                <w:highlight w:val="none"/>
              </w:rPr>
            </w:pPr>
            <w:r>
              <w:rPr>
                <w:rFonts w:hint="eastAsia" w:ascii="彩虹粗仿宋" w:hAnsi="彩虹粗仿宋" w:eastAsia="彩虹粗仿宋" w:cs="彩虹粗仿宋"/>
                <w:color w:val="000000"/>
                <w:kern w:val="0"/>
                <w:sz w:val="22"/>
                <w:highlight w:val="none"/>
              </w:rPr>
              <w:t>广西九地市房地产市场数据</w:t>
            </w:r>
          </w:p>
        </w:tc>
        <w:tc>
          <w:tcPr>
            <w:tcW w:w="1102" w:type="dxa"/>
            <w:vAlign w:val="center"/>
          </w:tcPr>
          <w:p>
            <w:pPr>
              <w:adjustRightInd w:val="0"/>
              <w:snapToGrid w:val="0"/>
              <w:spacing w:line="360" w:lineRule="auto"/>
              <w:jc w:val="center"/>
              <w:rPr>
                <w:rFonts w:ascii="彩虹粗仿宋" w:hAnsi="彩虹粗仿宋" w:eastAsia="彩虹粗仿宋" w:cs="彩虹粗仿宋"/>
                <w:snapToGrid w:val="0"/>
                <w:kern w:val="0"/>
                <w:sz w:val="22"/>
                <w:highlight w:val="none"/>
              </w:rPr>
            </w:pPr>
            <w:r>
              <w:rPr>
                <w:rFonts w:hint="eastAsia" w:ascii="彩虹粗仿宋" w:hAnsi="彩虹粗仿宋" w:eastAsia="彩虹粗仿宋" w:cs="彩虹粗仿宋"/>
                <w:snapToGrid w:val="0"/>
                <w:kern w:val="0"/>
                <w:sz w:val="22"/>
                <w:highlight w:val="none"/>
              </w:rPr>
              <w:t>房地产（楼盘）数据</w:t>
            </w:r>
          </w:p>
        </w:tc>
        <w:tc>
          <w:tcPr>
            <w:tcW w:w="804" w:type="dxa"/>
            <w:vAlign w:val="center"/>
          </w:tcPr>
          <w:p>
            <w:pPr>
              <w:adjustRightInd w:val="0"/>
              <w:snapToGrid w:val="0"/>
              <w:spacing w:line="360" w:lineRule="auto"/>
              <w:jc w:val="center"/>
              <w:rPr>
                <w:rFonts w:ascii="彩虹粗仿宋" w:hAnsi="彩虹粗仿宋" w:eastAsia="彩虹粗仿宋" w:cs="彩虹粗仿宋"/>
                <w:snapToGrid w:val="0"/>
                <w:kern w:val="0"/>
                <w:sz w:val="22"/>
                <w:highlight w:val="none"/>
              </w:rPr>
            </w:pPr>
            <w:r>
              <w:rPr>
                <w:rFonts w:hint="eastAsia" w:ascii="彩虹粗仿宋" w:hAnsi="彩虹粗仿宋" w:eastAsia="彩虹粗仿宋" w:cs="彩虹粗仿宋"/>
                <w:snapToGrid w:val="0"/>
                <w:kern w:val="0"/>
                <w:sz w:val="22"/>
                <w:highlight w:val="none"/>
              </w:rPr>
              <w:t>年</w:t>
            </w:r>
          </w:p>
        </w:tc>
        <w:tc>
          <w:tcPr>
            <w:tcW w:w="804" w:type="dxa"/>
            <w:vAlign w:val="center"/>
          </w:tcPr>
          <w:p>
            <w:pPr>
              <w:adjustRightInd w:val="0"/>
              <w:snapToGrid w:val="0"/>
              <w:spacing w:line="360" w:lineRule="auto"/>
              <w:jc w:val="center"/>
              <w:rPr>
                <w:rFonts w:ascii="彩虹粗仿宋" w:hAnsi="彩虹粗仿宋" w:eastAsia="彩虹粗仿宋" w:cs="彩虹粗仿宋"/>
                <w:snapToGrid w:val="0"/>
                <w:kern w:val="0"/>
                <w:sz w:val="22"/>
                <w:highlight w:val="none"/>
              </w:rPr>
            </w:pPr>
            <w:r>
              <w:rPr>
                <w:rFonts w:hint="eastAsia" w:ascii="彩虹粗仿宋" w:hAnsi="彩虹粗仿宋" w:eastAsia="彩虹粗仿宋" w:cs="彩虹粗仿宋"/>
                <w:snapToGrid w:val="0"/>
                <w:kern w:val="0"/>
                <w:sz w:val="22"/>
                <w:highlight w:val="none"/>
              </w:rPr>
              <w:t>1.5</w:t>
            </w:r>
          </w:p>
        </w:tc>
        <w:tc>
          <w:tcPr>
            <w:tcW w:w="1260" w:type="dxa"/>
            <w:vAlign w:val="center"/>
          </w:tcPr>
          <w:p>
            <w:pPr>
              <w:adjustRightInd w:val="0"/>
              <w:snapToGrid w:val="0"/>
              <w:spacing w:line="360" w:lineRule="auto"/>
              <w:jc w:val="center"/>
              <w:rPr>
                <w:rFonts w:ascii="彩虹粗仿宋" w:hAnsi="彩虹粗仿宋" w:eastAsia="彩虹粗仿宋" w:cs="彩虹粗仿宋"/>
                <w:snapToGrid w:val="0"/>
                <w:kern w:val="0"/>
                <w:sz w:val="22"/>
                <w:highlight w:val="none"/>
              </w:rPr>
            </w:pPr>
          </w:p>
        </w:tc>
        <w:tc>
          <w:tcPr>
            <w:tcW w:w="1152" w:type="dxa"/>
            <w:vAlign w:val="center"/>
          </w:tcPr>
          <w:p>
            <w:pPr>
              <w:adjustRightInd w:val="0"/>
              <w:snapToGrid w:val="0"/>
              <w:spacing w:line="360" w:lineRule="auto"/>
              <w:jc w:val="center"/>
              <w:rPr>
                <w:rFonts w:ascii="彩虹粗仿宋" w:hAnsi="彩虹粗仿宋" w:eastAsia="彩虹粗仿宋" w:cs="彩虹粗仿宋"/>
                <w:snapToGrid w:val="0"/>
                <w:kern w:val="0"/>
                <w:sz w:val="22"/>
                <w:highlight w:val="none"/>
              </w:rPr>
            </w:pPr>
          </w:p>
        </w:tc>
        <w:tc>
          <w:tcPr>
            <w:tcW w:w="912" w:type="dxa"/>
            <w:vAlign w:val="center"/>
          </w:tcPr>
          <w:p>
            <w:pPr>
              <w:adjustRightInd w:val="0"/>
              <w:snapToGrid w:val="0"/>
              <w:spacing w:line="360" w:lineRule="auto"/>
              <w:jc w:val="center"/>
              <w:rPr>
                <w:rFonts w:ascii="彩虹粗仿宋" w:hAnsi="彩虹粗仿宋" w:eastAsia="彩虹粗仿宋" w:cs="彩虹粗仿宋"/>
                <w:snapToGrid w:val="0"/>
                <w:kern w:val="0"/>
                <w:sz w:val="22"/>
                <w:highlight w:val="none"/>
              </w:rPr>
            </w:pPr>
          </w:p>
        </w:tc>
        <w:tc>
          <w:tcPr>
            <w:tcW w:w="1404" w:type="dxa"/>
            <w:vAlign w:val="center"/>
          </w:tcPr>
          <w:p>
            <w:pPr>
              <w:adjustRightInd w:val="0"/>
              <w:snapToGrid w:val="0"/>
              <w:spacing w:line="360" w:lineRule="auto"/>
              <w:jc w:val="center"/>
              <w:rPr>
                <w:rFonts w:ascii="彩虹粗仿宋" w:hAnsi="彩虹粗仿宋" w:eastAsia="彩虹粗仿宋" w:cs="彩虹粗仿宋"/>
                <w:snapToGrid w:val="0"/>
                <w:kern w:val="0"/>
                <w:sz w:val="22"/>
                <w:highlight w:val="none"/>
              </w:rPr>
            </w:pPr>
          </w:p>
        </w:tc>
      </w:tr>
    </w:tbl>
    <w:p>
      <w:pPr>
        <w:spacing w:line="360" w:lineRule="auto"/>
        <w:ind w:firstLine="643" w:firstLineChars="200"/>
        <w:rPr>
          <w:rFonts w:ascii="彩虹粗仿宋" w:hAnsi="宋体" w:eastAsia="彩虹粗仿宋" w:cs="Times New Roman"/>
          <w:b/>
          <w:snapToGrid w:val="0"/>
          <w:kern w:val="0"/>
          <w:sz w:val="32"/>
          <w:szCs w:val="32"/>
          <w:highlight w:val="none"/>
        </w:rPr>
      </w:pPr>
      <w:r>
        <w:rPr>
          <w:rFonts w:hint="eastAsia" w:ascii="彩虹粗仿宋" w:hAnsi="宋体" w:eastAsia="彩虹粗仿宋" w:cs="Times New Roman"/>
          <w:b/>
          <w:snapToGrid w:val="0"/>
          <w:kern w:val="0"/>
          <w:sz w:val="32"/>
          <w:szCs w:val="32"/>
          <w:highlight w:val="none"/>
        </w:rPr>
        <w:t>八、其他要求</w:t>
      </w:r>
    </w:p>
    <w:p>
      <w:pPr>
        <w:adjustRightInd w:val="0"/>
        <w:snapToGrid w:val="0"/>
        <w:spacing w:line="360" w:lineRule="auto"/>
        <w:ind w:firstLine="640" w:firstLineChars="200"/>
      </w:pPr>
      <w:r>
        <w:rPr>
          <w:rFonts w:hint="eastAsia" w:ascii="彩虹粗仿宋" w:hAnsi="宋体" w:eastAsia="彩虹粗仿宋" w:cs="Times New Roman"/>
          <w:snapToGrid w:val="0"/>
          <w:kern w:val="0"/>
          <w:sz w:val="32"/>
          <w:szCs w:val="32"/>
          <w:highlight w:val="none"/>
          <w:lang w:eastAsia="zh-CN"/>
        </w:rPr>
        <w:t>供应商需提供</w:t>
      </w:r>
      <w:r>
        <w:rPr>
          <w:rFonts w:hint="eastAsia" w:ascii="彩虹粗仿宋" w:hAnsi="宋体" w:eastAsia="彩虹粗仿宋" w:cs="Times New Roman"/>
          <w:snapToGrid w:val="0"/>
          <w:kern w:val="0"/>
          <w:sz w:val="32"/>
          <w:szCs w:val="32"/>
          <w:highlight w:val="none"/>
        </w:rPr>
        <w:t>免费增值服务</w:t>
      </w:r>
      <w:r>
        <w:rPr>
          <w:rFonts w:hint="eastAsia" w:ascii="彩虹粗仿宋" w:hAnsi="宋体" w:eastAsia="彩虹粗仿宋" w:cs="Times New Roman"/>
          <w:snapToGrid w:val="0"/>
          <w:kern w:val="0"/>
          <w:sz w:val="32"/>
          <w:szCs w:val="32"/>
          <w:highlight w:val="none"/>
          <w:lang w:eastAsia="zh-CN"/>
        </w:rPr>
        <w:t>，</w:t>
      </w:r>
      <w:r>
        <w:rPr>
          <w:rFonts w:hint="eastAsia" w:ascii="彩虹粗仿宋" w:hAnsi="宋体" w:eastAsia="彩虹粗仿宋" w:cs="Times New Roman"/>
          <w:snapToGrid w:val="0"/>
          <w:kern w:val="0"/>
          <w:sz w:val="32"/>
          <w:szCs w:val="32"/>
          <w:highlight w:val="none"/>
        </w:rPr>
        <w:t>在服务</w:t>
      </w:r>
      <w:r>
        <w:rPr>
          <w:rFonts w:hint="eastAsia" w:ascii="彩虹粗仿宋" w:hAnsi="宋体" w:eastAsia="彩虹粗仿宋" w:cs="Times New Roman"/>
          <w:snapToGrid w:val="0"/>
          <w:kern w:val="0"/>
          <w:sz w:val="32"/>
          <w:szCs w:val="32"/>
          <w:highlight w:val="none"/>
          <w:lang w:eastAsia="zh-CN"/>
        </w:rPr>
        <w:t>期限</w:t>
      </w:r>
      <w:r>
        <w:rPr>
          <w:rFonts w:hint="eastAsia" w:ascii="彩虹粗仿宋" w:hAnsi="宋体" w:eastAsia="彩虹粗仿宋" w:cs="Times New Roman"/>
          <w:snapToGrid w:val="0"/>
          <w:kern w:val="0"/>
          <w:sz w:val="32"/>
          <w:szCs w:val="32"/>
          <w:highlight w:val="none"/>
        </w:rPr>
        <w:t>内</w:t>
      </w:r>
      <w:r>
        <w:rPr>
          <w:rFonts w:hint="eastAsia" w:ascii="彩虹粗仿宋" w:hAnsi="宋体" w:eastAsia="彩虹粗仿宋" w:cs="Times New Roman"/>
          <w:snapToGrid w:val="0"/>
          <w:kern w:val="0"/>
          <w:sz w:val="32"/>
          <w:szCs w:val="32"/>
          <w:highlight w:val="none"/>
          <w:lang w:eastAsia="zh-CN"/>
        </w:rPr>
        <w:t>每年至少</w:t>
      </w:r>
      <w:r>
        <w:rPr>
          <w:rFonts w:hint="eastAsia" w:ascii="彩虹粗仿宋" w:hAnsi="宋体" w:eastAsia="彩虹粗仿宋" w:cs="Times New Roman"/>
          <w:snapToGrid w:val="0"/>
          <w:kern w:val="0"/>
          <w:sz w:val="32"/>
          <w:szCs w:val="32"/>
          <w:highlight w:val="none"/>
        </w:rPr>
        <w:t>提供两次免费</w:t>
      </w:r>
      <w:r>
        <w:rPr>
          <w:rFonts w:hint="eastAsia" w:ascii="彩虹粗仿宋" w:hAnsi="宋体" w:eastAsia="彩虹粗仿宋" w:cs="Times New Roman"/>
          <w:snapToGrid w:val="0"/>
          <w:kern w:val="0"/>
          <w:sz w:val="32"/>
          <w:szCs w:val="32"/>
        </w:rPr>
        <w:t>现场授课服务</w:t>
      </w:r>
      <w:r>
        <w:rPr>
          <w:rFonts w:hint="eastAsia" w:ascii="彩虹粗仿宋" w:hAnsi="宋体" w:eastAsia="彩虹粗仿宋" w:cs="Times New Roman"/>
          <w:snapToGrid w:val="0"/>
          <w:kern w:val="0"/>
          <w:sz w:val="32"/>
          <w:szCs w:val="32"/>
          <w:lang w:eastAsia="zh-CN"/>
        </w:rPr>
        <w:t>，由专业讲师围绕房地产市场数据分析、市场现状及市场研判等相关内容进行专题授课。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方正宋体-人口信息-P2">
    <w:panose1 w:val="03000509000000000000"/>
    <w:charset w:val="86"/>
    <w:family w:val="auto"/>
    <w:pitch w:val="default"/>
    <w:sig w:usb0="10002003" w:usb1="BB1E0800" w:usb2="000A004E" w:usb3="00000000" w:csb0="003C0041" w:csb1="A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58"/>
    <w:rsid w:val="00095762"/>
    <w:rsid w:val="000D4373"/>
    <w:rsid w:val="002E0BC2"/>
    <w:rsid w:val="004105E8"/>
    <w:rsid w:val="00630478"/>
    <w:rsid w:val="00634918"/>
    <w:rsid w:val="00703B86"/>
    <w:rsid w:val="00717652"/>
    <w:rsid w:val="00844447"/>
    <w:rsid w:val="00854E2D"/>
    <w:rsid w:val="00930D91"/>
    <w:rsid w:val="00EC6EF5"/>
    <w:rsid w:val="00F35958"/>
    <w:rsid w:val="00FF56D0"/>
    <w:rsid w:val="11A43E26"/>
    <w:rsid w:val="1DCD8B2A"/>
    <w:rsid w:val="277A6E7B"/>
    <w:rsid w:val="295F022E"/>
    <w:rsid w:val="33DB7132"/>
    <w:rsid w:val="3E7FD434"/>
    <w:rsid w:val="676E90B1"/>
    <w:rsid w:val="75FFDE03"/>
    <w:rsid w:val="78EF2857"/>
    <w:rsid w:val="7CD90D69"/>
    <w:rsid w:val="7DB8EBB6"/>
    <w:rsid w:val="7F4D1C95"/>
    <w:rsid w:val="7FDF6C9A"/>
    <w:rsid w:val="7FFF6905"/>
    <w:rsid w:val="8FDFFF8F"/>
    <w:rsid w:val="9EB7C442"/>
    <w:rsid w:val="AF9FA881"/>
    <w:rsid w:val="B1DFBE95"/>
    <w:rsid w:val="B7F8AA8D"/>
    <w:rsid w:val="BD5734DE"/>
    <w:rsid w:val="BDF7DE6A"/>
    <w:rsid w:val="DFBB5010"/>
    <w:rsid w:val="F9FB0889"/>
    <w:rsid w:val="FBFEF8A9"/>
    <w:rsid w:val="FBFFC38D"/>
    <w:rsid w:val="FD68C691"/>
    <w:rsid w:val="FDDB0293"/>
    <w:rsid w:val="FF77B4A7"/>
    <w:rsid w:val="FFF75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文字 字符"/>
    <w:basedOn w:val="9"/>
    <w:link w:val="2"/>
    <w:semiHidden/>
    <w:qFormat/>
    <w:uiPriority w:val="99"/>
    <w:rPr>
      <w:rFonts w:asciiTheme="minorHAnsi" w:hAnsiTheme="minorHAnsi" w:eastAsiaTheme="minorEastAsia" w:cstheme="minorBidi"/>
      <w:kern w:val="2"/>
      <w:sz w:val="21"/>
      <w:szCs w:val="22"/>
    </w:rPr>
  </w:style>
  <w:style w:type="character" w:customStyle="1" w:styleId="14">
    <w:name w:val="批注主题 字符"/>
    <w:basedOn w:val="13"/>
    <w:link w:val="6"/>
    <w:semiHidden/>
    <w:qFormat/>
    <w:uiPriority w:val="99"/>
    <w:rPr>
      <w:rFonts w:asciiTheme="minorHAnsi" w:hAnsiTheme="minorHAnsi" w:eastAsiaTheme="minorEastAsia" w:cstheme="minorBidi"/>
      <w:b/>
      <w:bCs/>
      <w:kern w:val="2"/>
      <w:sz w:val="21"/>
      <w:szCs w:val="22"/>
    </w:rPr>
  </w:style>
  <w:style w:type="character" w:customStyle="1" w:styleId="15">
    <w:name w:val="批注框文本 字符"/>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312</Words>
  <Characters>1784</Characters>
  <Lines>14</Lines>
  <Paragraphs>4</Paragraphs>
  <TotalTime>121</TotalTime>
  <ScaleCrop>false</ScaleCrop>
  <LinksUpToDate>false</LinksUpToDate>
  <CharactersWithSpaces>2092</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2019-04-07T16:09:00Z</dcterms:created>
  <dc:creator>Apache POI</dc:creator>
  <cp:lastModifiedBy>ccb</cp:lastModifiedBy>
  <cp:lastPrinted>2026-04-08T07:46:00Z</cp:lastPrinted>
  <dcterms:modified xsi:type="dcterms:W3CDTF">2026-04-07T16:39:43Z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AD6BF6269883571F6173D4698701C534_43</vt:lpwstr>
  </property>
</Properties>
</file>