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732" w:rsidRDefault="004C4732" w:rsidP="004C4732">
      <w:pPr>
        <w:pStyle w:val="a3"/>
        <w:ind w:firstLine="422"/>
        <w:rPr>
          <w:b/>
          <w:color w:val="FF0000"/>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w:t>
      </w:r>
      <w:proofErr w:type="gramStart"/>
      <w:r>
        <w:rPr>
          <w:rFonts w:hint="eastAsia"/>
        </w:rPr>
        <w:t>作出</w:t>
      </w:r>
      <w:proofErr w:type="gramEnd"/>
      <w:r>
        <w:rPr>
          <w:rFonts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7821"/>
        <w:gridCol w:w="313"/>
        <w:gridCol w:w="465"/>
      </w:tblGrid>
      <w:tr w:rsidR="004C4732" w:rsidTr="00BB52E8">
        <w:trPr>
          <w:trHeight w:val="465"/>
          <w:jc w:val="center"/>
        </w:trPr>
        <w:tc>
          <w:tcPr>
            <w:tcW w:w="616" w:type="dxa"/>
            <w:vAlign w:val="center"/>
          </w:tcPr>
          <w:p w:rsidR="004C4732" w:rsidRDefault="004C4732" w:rsidP="00BB52E8">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4C4732" w:rsidRDefault="004C4732" w:rsidP="00BB52E8">
            <w:pPr>
              <w:widowControl/>
              <w:jc w:val="center"/>
              <w:rPr>
                <w:rFonts w:ascii="Arial" w:hAnsi="Arial" w:cs="Arial"/>
                <w:color w:val="000000"/>
                <w:kern w:val="0"/>
                <w:szCs w:val="21"/>
              </w:rPr>
            </w:pPr>
            <w:r>
              <w:rPr>
                <w:rFonts w:ascii="Arial" w:hAnsi="Arial" w:cs="Arial"/>
                <w:color w:val="000000"/>
                <w:kern w:val="0"/>
                <w:szCs w:val="21"/>
              </w:rPr>
              <w:t>名称</w:t>
            </w:r>
          </w:p>
        </w:tc>
        <w:tc>
          <w:tcPr>
            <w:tcW w:w="7821" w:type="dxa"/>
            <w:shd w:val="clear" w:color="auto" w:fill="auto"/>
            <w:noWrap/>
            <w:vAlign w:val="center"/>
          </w:tcPr>
          <w:p w:rsidR="004C4732" w:rsidRDefault="004C4732" w:rsidP="00BB52E8">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13" w:type="dxa"/>
            <w:shd w:val="clear" w:color="auto" w:fill="auto"/>
            <w:noWrap/>
            <w:vAlign w:val="center"/>
          </w:tcPr>
          <w:p w:rsidR="004C4732" w:rsidRDefault="004C4732" w:rsidP="00BB52E8">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4C4732" w:rsidRDefault="004C4732" w:rsidP="00BB52E8">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4C4732" w:rsidTr="00BB52E8">
        <w:trPr>
          <w:trHeight w:val="2522"/>
          <w:jc w:val="center"/>
        </w:trPr>
        <w:tc>
          <w:tcPr>
            <w:tcW w:w="616" w:type="dxa"/>
            <w:vAlign w:val="center"/>
          </w:tcPr>
          <w:p w:rsidR="004C4732" w:rsidRDefault="004C4732" w:rsidP="00BB52E8">
            <w:pPr>
              <w:jc w:val="center"/>
              <w:rPr>
                <w:rFonts w:ascii="Arial" w:hAnsi="Arial" w:cs="Arial"/>
                <w:color w:val="000000"/>
                <w:kern w:val="0"/>
                <w:sz w:val="20"/>
                <w:szCs w:val="20"/>
              </w:rPr>
            </w:pPr>
            <w:r>
              <w:rPr>
                <w:rFonts w:hint="eastAsia"/>
                <w:sz w:val="22"/>
              </w:rPr>
              <w:t>1</w:t>
            </w:r>
          </w:p>
        </w:tc>
        <w:tc>
          <w:tcPr>
            <w:tcW w:w="851" w:type="dxa"/>
            <w:shd w:val="clear" w:color="auto" w:fill="auto"/>
            <w:noWrap/>
            <w:vAlign w:val="center"/>
          </w:tcPr>
          <w:p w:rsidR="004C4732" w:rsidRDefault="004C4732" w:rsidP="00BB52E8">
            <w:pPr>
              <w:jc w:val="center"/>
              <w:rPr>
                <w:rFonts w:ascii="Arial" w:hAnsi="Arial" w:cs="Arial"/>
                <w:color w:val="000000"/>
                <w:kern w:val="0"/>
                <w:sz w:val="20"/>
                <w:szCs w:val="20"/>
              </w:rPr>
            </w:pPr>
            <w:r>
              <w:rPr>
                <w:sz w:val="22"/>
              </w:rPr>
              <w:t>GPU</w:t>
            </w:r>
            <w:r>
              <w:rPr>
                <w:sz w:val="22"/>
              </w:rPr>
              <w:t>核心模块</w:t>
            </w:r>
          </w:p>
        </w:tc>
        <w:tc>
          <w:tcPr>
            <w:tcW w:w="7821" w:type="dxa"/>
            <w:shd w:val="clear" w:color="auto" w:fill="auto"/>
            <w:noWrap/>
            <w:vAlign w:val="center"/>
          </w:tcPr>
          <w:p w:rsidR="004C4732" w:rsidRDefault="004C4732" w:rsidP="004C4732">
            <w:pPr>
              <w:numPr>
                <w:ilvl w:val="0"/>
                <w:numId w:val="12"/>
              </w:numPr>
              <w:jc w:val="left"/>
              <w:rPr>
                <w:rFonts w:ascii="宋体" w:eastAsia="宋体" w:hAnsi="宋体" w:cs="宋体"/>
                <w:sz w:val="20"/>
                <w:szCs w:val="20"/>
              </w:rPr>
            </w:pPr>
            <w:r>
              <w:rPr>
                <w:rFonts w:ascii="宋体" w:eastAsia="宋体" w:hAnsi="宋体" w:cs="宋体" w:hint="eastAsia"/>
                <w:sz w:val="20"/>
                <w:szCs w:val="20"/>
              </w:rPr>
              <w:t>核心架构：NVIDIA Ampere（GA100），台积电 7nm 工艺，确保与其他模块焊接组装后正常运行；</w:t>
            </w:r>
          </w:p>
          <w:p w:rsidR="004C4732" w:rsidRDefault="004C4732" w:rsidP="004C4732">
            <w:pPr>
              <w:numPr>
                <w:ilvl w:val="0"/>
                <w:numId w:val="12"/>
              </w:numPr>
              <w:jc w:val="left"/>
              <w:rPr>
                <w:rFonts w:ascii="宋体" w:eastAsia="宋体" w:hAnsi="宋体" w:cs="宋体"/>
                <w:sz w:val="20"/>
                <w:szCs w:val="20"/>
              </w:rPr>
            </w:pPr>
            <w:r>
              <w:rPr>
                <w:rFonts w:ascii="宋体" w:eastAsia="宋体" w:hAnsi="宋体" w:cs="宋体"/>
                <w:sz w:val="20"/>
                <w:szCs w:val="20"/>
              </w:rPr>
              <w:t xml:space="preserve">SM（流式多处理器）：108 </w:t>
            </w:r>
            <w:proofErr w:type="gramStart"/>
            <w:r>
              <w:rPr>
                <w:rFonts w:ascii="宋体" w:eastAsia="宋体" w:hAnsi="宋体" w:cs="宋体"/>
                <w:sz w:val="20"/>
                <w:szCs w:val="20"/>
              </w:rPr>
              <w:t>个</w:t>
            </w:r>
            <w:proofErr w:type="gramEnd"/>
            <w:r>
              <w:rPr>
                <w:rFonts w:ascii="宋体" w:eastAsia="宋体" w:hAnsi="宋体" w:cs="宋体"/>
                <w:sz w:val="20"/>
                <w:szCs w:val="20"/>
              </w:rPr>
              <w:t>；</w:t>
            </w:r>
          </w:p>
          <w:p w:rsidR="004C4732" w:rsidRDefault="004C4732" w:rsidP="004C4732">
            <w:pPr>
              <w:numPr>
                <w:ilvl w:val="0"/>
                <w:numId w:val="12"/>
              </w:numPr>
              <w:jc w:val="left"/>
              <w:rPr>
                <w:rFonts w:ascii="宋体" w:eastAsia="宋体" w:hAnsi="宋体" w:cs="宋体"/>
                <w:sz w:val="20"/>
                <w:szCs w:val="20"/>
              </w:rPr>
            </w:pPr>
            <w:r>
              <w:rPr>
                <w:rFonts w:ascii="宋体" w:eastAsia="宋体" w:hAnsi="宋体" w:cs="宋体"/>
                <w:sz w:val="20"/>
                <w:szCs w:val="20"/>
              </w:rPr>
              <w:t xml:space="preserve">Tensor Core：432 </w:t>
            </w:r>
            <w:proofErr w:type="gramStart"/>
            <w:r>
              <w:rPr>
                <w:rFonts w:ascii="宋体" w:eastAsia="宋体" w:hAnsi="宋体" w:cs="宋体"/>
                <w:sz w:val="20"/>
                <w:szCs w:val="20"/>
              </w:rPr>
              <w:t>个</w:t>
            </w:r>
            <w:proofErr w:type="gramEnd"/>
            <w:r>
              <w:rPr>
                <w:rFonts w:ascii="宋体" w:eastAsia="宋体" w:hAnsi="宋体" w:cs="宋体"/>
                <w:sz w:val="20"/>
                <w:szCs w:val="20"/>
              </w:rPr>
              <w:t>（第三代，支持 TF32/FP16/BF16/INT8 等多精度计算）；</w:t>
            </w:r>
          </w:p>
          <w:p w:rsidR="004C4732" w:rsidRDefault="004C4732" w:rsidP="004C4732">
            <w:pPr>
              <w:numPr>
                <w:ilvl w:val="0"/>
                <w:numId w:val="12"/>
              </w:numPr>
              <w:jc w:val="left"/>
              <w:rPr>
                <w:rFonts w:ascii="宋体" w:eastAsia="宋体" w:hAnsi="宋体" w:cs="宋体"/>
                <w:sz w:val="20"/>
                <w:szCs w:val="20"/>
              </w:rPr>
            </w:pPr>
            <w:r>
              <w:rPr>
                <w:rFonts w:ascii="宋体" w:eastAsia="宋体" w:hAnsi="宋体" w:cs="宋体"/>
                <w:sz w:val="20"/>
                <w:szCs w:val="20"/>
              </w:rPr>
              <w:t xml:space="preserve">CUDA 核心：6912 </w:t>
            </w:r>
            <w:proofErr w:type="gramStart"/>
            <w:r>
              <w:rPr>
                <w:rFonts w:ascii="宋体" w:eastAsia="宋体" w:hAnsi="宋体" w:cs="宋体"/>
                <w:sz w:val="20"/>
                <w:szCs w:val="20"/>
              </w:rPr>
              <w:t>个</w:t>
            </w:r>
            <w:proofErr w:type="gramEnd"/>
            <w:r>
              <w:rPr>
                <w:rFonts w:ascii="宋体" w:eastAsia="宋体" w:hAnsi="宋体" w:cs="宋体"/>
                <w:sz w:val="20"/>
                <w:szCs w:val="20"/>
              </w:rPr>
              <w:t>（FP32 单精度峰值 19.5 TFLOPS）；</w:t>
            </w:r>
          </w:p>
          <w:p w:rsidR="004C4732" w:rsidRDefault="004C4732" w:rsidP="004C4732">
            <w:pPr>
              <w:numPr>
                <w:ilvl w:val="0"/>
                <w:numId w:val="12"/>
              </w:numPr>
              <w:jc w:val="left"/>
              <w:rPr>
                <w:rFonts w:ascii="宋体" w:eastAsia="宋体" w:hAnsi="宋体" w:cs="宋体"/>
                <w:sz w:val="20"/>
                <w:szCs w:val="20"/>
              </w:rPr>
            </w:pPr>
            <w:r>
              <w:rPr>
                <w:rFonts w:ascii="宋体" w:eastAsia="宋体" w:hAnsi="宋体" w:cs="宋体"/>
                <w:sz w:val="20"/>
                <w:szCs w:val="20"/>
              </w:rPr>
              <w:t>寄存器文件：≥27 MB；</w:t>
            </w:r>
          </w:p>
          <w:p w:rsidR="004C4732" w:rsidRDefault="004C4732" w:rsidP="00BB52E8">
            <w:pPr>
              <w:jc w:val="left"/>
              <w:rPr>
                <w:rFonts w:cs="Times New Roman"/>
                <w:sz w:val="24"/>
                <w:szCs w:val="24"/>
              </w:rPr>
            </w:pPr>
            <w:r>
              <w:rPr>
                <w:rFonts w:ascii="宋体" w:eastAsia="宋体" w:hAnsi="宋体" w:cs="宋体"/>
                <w:sz w:val="20"/>
                <w:szCs w:val="20"/>
              </w:rPr>
              <w:t>6. L2 缓存：≥40 MB</w:t>
            </w:r>
          </w:p>
        </w:tc>
        <w:tc>
          <w:tcPr>
            <w:tcW w:w="313" w:type="dxa"/>
            <w:shd w:val="clear" w:color="auto" w:fill="auto"/>
            <w:noWrap/>
            <w:vAlign w:val="center"/>
          </w:tcPr>
          <w:p w:rsidR="004C4732" w:rsidRDefault="004C4732" w:rsidP="00BB52E8">
            <w:pPr>
              <w:jc w:val="center"/>
              <w:rPr>
                <w:rFonts w:ascii="Arial" w:hAnsi="Arial" w:cs="Arial"/>
                <w:color w:val="FF0000"/>
                <w:kern w:val="0"/>
                <w:szCs w:val="21"/>
              </w:rPr>
            </w:pPr>
            <w:r>
              <w:rPr>
                <w:rFonts w:hint="eastAsia"/>
                <w:sz w:val="24"/>
                <w:szCs w:val="24"/>
              </w:rPr>
              <w:t>1</w:t>
            </w:r>
          </w:p>
        </w:tc>
        <w:tc>
          <w:tcPr>
            <w:tcW w:w="465" w:type="dxa"/>
            <w:shd w:val="clear" w:color="auto" w:fill="auto"/>
            <w:noWrap/>
            <w:vAlign w:val="center"/>
          </w:tcPr>
          <w:p w:rsidR="004C4732" w:rsidRDefault="004C4732" w:rsidP="00BB52E8">
            <w:pPr>
              <w:jc w:val="center"/>
              <w:rPr>
                <w:rFonts w:ascii="Arial" w:hAnsi="Arial" w:cs="Arial"/>
                <w:color w:val="FF0000"/>
                <w:kern w:val="0"/>
                <w:szCs w:val="21"/>
              </w:rPr>
            </w:pPr>
            <w:r>
              <w:rPr>
                <w:rFonts w:hint="eastAsia"/>
                <w:sz w:val="24"/>
                <w:szCs w:val="24"/>
              </w:rPr>
              <w:t>套</w:t>
            </w:r>
          </w:p>
        </w:tc>
      </w:tr>
      <w:tr w:rsidR="004C4732" w:rsidTr="00BB52E8">
        <w:trPr>
          <w:trHeight w:val="2192"/>
          <w:jc w:val="center"/>
        </w:trPr>
        <w:tc>
          <w:tcPr>
            <w:tcW w:w="616" w:type="dxa"/>
            <w:vAlign w:val="center"/>
          </w:tcPr>
          <w:p w:rsidR="004C4732" w:rsidRDefault="004C4732" w:rsidP="00BB52E8">
            <w:pPr>
              <w:jc w:val="center"/>
              <w:rPr>
                <w:rFonts w:ascii="Arial" w:hAnsi="Arial" w:cs="Arial"/>
                <w:color w:val="000000"/>
                <w:kern w:val="0"/>
                <w:sz w:val="20"/>
                <w:szCs w:val="20"/>
              </w:rPr>
            </w:pPr>
            <w:r>
              <w:rPr>
                <w:rFonts w:hint="eastAsia"/>
                <w:sz w:val="22"/>
              </w:rPr>
              <w:t>2</w:t>
            </w:r>
          </w:p>
        </w:tc>
        <w:tc>
          <w:tcPr>
            <w:tcW w:w="851" w:type="dxa"/>
            <w:shd w:val="clear" w:color="auto" w:fill="auto"/>
            <w:noWrap/>
            <w:vAlign w:val="center"/>
          </w:tcPr>
          <w:p w:rsidR="004C4732" w:rsidRDefault="004C4732" w:rsidP="00BB52E8">
            <w:pPr>
              <w:jc w:val="center"/>
              <w:rPr>
                <w:rFonts w:ascii="Arial" w:hAnsi="Arial" w:cs="Arial"/>
                <w:color w:val="FF0000"/>
                <w:kern w:val="0"/>
                <w:sz w:val="20"/>
                <w:szCs w:val="20"/>
              </w:rPr>
            </w:pPr>
            <w:r>
              <w:rPr>
                <w:sz w:val="22"/>
              </w:rPr>
              <w:t>显存模块</w:t>
            </w:r>
          </w:p>
        </w:tc>
        <w:tc>
          <w:tcPr>
            <w:tcW w:w="7821" w:type="dxa"/>
            <w:shd w:val="clear" w:color="auto" w:fill="auto"/>
            <w:noWrap/>
            <w:vAlign w:val="center"/>
          </w:tcPr>
          <w:p w:rsidR="004C4732" w:rsidRDefault="004C4732" w:rsidP="004C4732">
            <w:pPr>
              <w:numPr>
                <w:ilvl w:val="0"/>
                <w:numId w:val="13"/>
              </w:numPr>
              <w:jc w:val="left"/>
              <w:rPr>
                <w:rFonts w:ascii="宋体" w:eastAsia="宋体" w:hAnsi="宋体" w:cs="宋体"/>
                <w:sz w:val="20"/>
                <w:szCs w:val="20"/>
              </w:rPr>
            </w:pPr>
            <w:r>
              <w:rPr>
                <w:rFonts w:ascii="宋体" w:eastAsia="宋体" w:hAnsi="宋体" w:cs="宋体" w:hint="eastAsia"/>
                <w:sz w:val="20"/>
                <w:szCs w:val="20"/>
              </w:rPr>
              <w:t xml:space="preserve">总容量：≥80GB，采用 HBM2e 3D 堆叠技术，由 5 </w:t>
            </w:r>
            <w:proofErr w:type="gramStart"/>
            <w:r>
              <w:rPr>
                <w:rFonts w:ascii="宋体" w:eastAsia="宋体" w:hAnsi="宋体" w:cs="宋体" w:hint="eastAsia"/>
                <w:sz w:val="20"/>
                <w:szCs w:val="20"/>
              </w:rPr>
              <w:t>个</w:t>
            </w:r>
            <w:proofErr w:type="gramEnd"/>
            <w:r>
              <w:rPr>
                <w:rFonts w:ascii="宋体" w:eastAsia="宋体" w:hAnsi="宋体" w:cs="宋体" w:hint="eastAsia"/>
                <w:sz w:val="20"/>
                <w:szCs w:val="20"/>
              </w:rPr>
              <w:t>独立 HBM2e 堆栈芯片组成；</w:t>
            </w:r>
          </w:p>
          <w:p w:rsidR="004C4732" w:rsidRDefault="004C4732" w:rsidP="004C4732">
            <w:pPr>
              <w:numPr>
                <w:ilvl w:val="0"/>
                <w:numId w:val="13"/>
              </w:numPr>
              <w:jc w:val="left"/>
              <w:rPr>
                <w:rFonts w:ascii="宋体" w:eastAsia="宋体" w:hAnsi="宋体" w:cs="宋体"/>
                <w:sz w:val="20"/>
                <w:szCs w:val="20"/>
              </w:rPr>
            </w:pPr>
            <w:r>
              <w:rPr>
                <w:rFonts w:ascii="宋体" w:eastAsia="宋体" w:hAnsi="宋体" w:cs="宋体"/>
                <w:sz w:val="20"/>
                <w:szCs w:val="20"/>
              </w:rPr>
              <w:t>单堆栈容量：每个 HBM2e 堆栈容量≥16GB；</w:t>
            </w:r>
          </w:p>
          <w:p w:rsidR="004C4732" w:rsidRDefault="004C4732" w:rsidP="004C4732">
            <w:pPr>
              <w:numPr>
                <w:ilvl w:val="0"/>
                <w:numId w:val="13"/>
              </w:numPr>
              <w:jc w:val="left"/>
              <w:rPr>
                <w:rFonts w:ascii="宋体" w:eastAsia="宋体" w:hAnsi="宋体" w:cs="宋体"/>
                <w:sz w:val="20"/>
                <w:szCs w:val="20"/>
              </w:rPr>
            </w:pPr>
            <w:r>
              <w:rPr>
                <w:rFonts w:ascii="宋体" w:eastAsia="宋体" w:hAnsi="宋体" w:cs="宋体"/>
                <w:sz w:val="20"/>
                <w:szCs w:val="20"/>
              </w:rPr>
              <w:t>显存带宽：≥2039 GB/s；</w:t>
            </w:r>
          </w:p>
          <w:p w:rsidR="004C4732" w:rsidRDefault="004C4732" w:rsidP="004C4732">
            <w:pPr>
              <w:numPr>
                <w:ilvl w:val="0"/>
                <w:numId w:val="13"/>
              </w:numPr>
              <w:jc w:val="left"/>
              <w:rPr>
                <w:rFonts w:ascii="宋体" w:eastAsia="宋体" w:hAnsi="宋体" w:cs="宋体"/>
                <w:sz w:val="20"/>
                <w:szCs w:val="20"/>
              </w:rPr>
            </w:pPr>
            <w:r>
              <w:rPr>
                <w:rFonts w:ascii="宋体" w:eastAsia="宋体" w:hAnsi="宋体" w:cs="宋体"/>
                <w:sz w:val="20"/>
                <w:szCs w:val="20"/>
              </w:rPr>
              <w:t>总位宽：5120bit（单个堆栈 1024bit，5×1024bit）；</w:t>
            </w:r>
          </w:p>
          <w:p w:rsidR="004C4732" w:rsidRDefault="004C4732" w:rsidP="004C4732">
            <w:pPr>
              <w:numPr>
                <w:ilvl w:val="0"/>
                <w:numId w:val="13"/>
              </w:numPr>
              <w:jc w:val="left"/>
              <w:rPr>
                <w:rFonts w:ascii="宋体" w:eastAsia="宋体" w:hAnsi="宋体" w:cs="宋体"/>
                <w:sz w:val="20"/>
                <w:szCs w:val="20"/>
              </w:rPr>
            </w:pPr>
            <w:r>
              <w:rPr>
                <w:rFonts w:ascii="宋体" w:eastAsia="宋体" w:hAnsi="宋体" w:cs="宋体"/>
                <w:sz w:val="20"/>
                <w:szCs w:val="20"/>
              </w:rPr>
              <w:t>适配性：支持 ECC 纠错功能，与 A100 GPU 核心模块原生适配；</w:t>
            </w:r>
          </w:p>
          <w:p w:rsidR="004C4732" w:rsidRDefault="004C4732" w:rsidP="004C4732">
            <w:pPr>
              <w:numPr>
                <w:ilvl w:val="0"/>
                <w:numId w:val="13"/>
              </w:numPr>
              <w:jc w:val="left"/>
              <w:rPr>
                <w:rFonts w:ascii="宋体" w:eastAsia="宋体" w:hAnsi="宋体" w:cs="宋体"/>
                <w:sz w:val="20"/>
                <w:szCs w:val="20"/>
              </w:rPr>
            </w:pPr>
            <w:r>
              <w:rPr>
                <w:rFonts w:ascii="宋体" w:eastAsia="宋体" w:hAnsi="宋体" w:cs="宋体"/>
                <w:sz w:val="20"/>
                <w:szCs w:val="20"/>
              </w:rPr>
              <w:t>可靠性：MTBF≥1,200,000 小时，满足数据中心 7×24 小时连续运行</w:t>
            </w:r>
          </w:p>
        </w:tc>
        <w:tc>
          <w:tcPr>
            <w:tcW w:w="313" w:type="dxa"/>
            <w:shd w:val="clear" w:color="auto" w:fill="auto"/>
            <w:noWrap/>
            <w:vAlign w:val="center"/>
          </w:tcPr>
          <w:p w:rsidR="004C4732" w:rsidRDefault="004C4732" w:rsidP="00BB52E8">
            <w:pPr>
              <w:jc w:val="center"/>
              <w:rPr>
                <w:rFonts w:ascii="Arial" w:hAnsi="Arial" w:cs="Arial"/>
                <w:color w:val="FF0000"/>
                <w:kern w:val="0"/>
                <w:szCs w:val="21"/>
              </w:rPr>
            </w:pPr>
            <w:r>
              <w:rPr>
                <w:rFonts w:hint="eastAsia"/>
                <w:sz w:val="24"/>
                <w:szCs w:val="24"/>
              </w:rPr>
              <w:t>1</w:t>
            </w:r>
          </w:p>
        </w:tc>
        <w:tc>
          <w:tcPr>
            <w:tcW w:w="465" w:type="dxa"/>
            <w:shd w:val="clear" w:color="auto" w:fill="auto"/>
            <w:noWrap/>
            <w:vAlign w:val="center"/>
          </w:tcPr>
          <w:p w:rsidR="004C4732" w:rsidRDefault="004C4732" w:rsidP="00BB52E8">
            <w:pPr>
              <w:jc w:val="center"/>
              <w:rPr>
                <w:rFonts w:ascii="Arial" w:hAnsi="Arial" w:cs="Arial"/>
                <w:color w:val="FF0000"/>
                <w:kern w:val="0"/>
                <w:szCs w:val="21"/>
              </w:rPr>
            </w:pPr>
            <w:r>
              <w:rPr>
                <w:rFonts w:hint="eastAsia"/>
                <w:sz w:val="24"/>
                <w:szCs w:val="24"/>
              </w:rPr>
              <w:t>套</w:t>
            </w:r>
          </w:p>
        </w:tc>
      </w:tr>
      <w:tr w:rsidR="004C4732" w:rsidTr="00BB52E8">
        <w:trPr>
          <w:trHeight w:val="2327"/>
          <w:jc w:val="center"/>
        </w:trPr>
        <w:tc>
          <w:tcPr>
            <w:tcW w:w="616" w:type="dxa"/>
            <w:vAlign w:val="center"/>
          </w:tcPr>
          <w:p w:rsidR="004C4732" w:rsidRDefault="004C4732" w:rsidP="00BB52E8">
            <w:pPr>
              <w:jc w:val="center"/>
              <w:rPr>
                <w:rFonts w:ascii="Arial" w:hAnsi="Arial" w:cs="Arial"/>
                <w:color w:val="000000"/>
                <w:kern w:val="0"/>
                <w:sz w:val="20"/>
                <w:szCs w:val="20"/>
              </w:rPr>
            </w:pPr>
            <w:r>
              <w:rPr>
                <w:rFonts w:hint="eastAsia"/>
                <w:sz w:val="22"/>
              </w:rPr>
              <w:t>3</w:t>
            </w:r>
          </w:p>
        </w:tc>
        <w:tc>
          <w:tcPr>
            <w:tcW w:w="851" w:type="dxa"/>
            <w:shd w:val="clear" w:color="auto" w:fill="auto"/>
            <w:noWrap/>
            <w:vAlign w:val="center"/>
          </w:tcPr>
          <w:p w:rsidR="004C4732" w:rsidRDefault="004C4732" w:rsidP="00BB52E8">
            <w:pPr>
              <w:jc w:val="center"/>
              <w:rPr>
                <w:rFonts w:ascii="Arial" w:hAnsi="Arial" w:cs="Arial"/>
                <w:color w:val="FF0000"/>
                <w:kern w:val="0"/>
                <w:sz w:val="20"/>
                <w:szCs w:val="20"/>
              </w:rPr>
            </w:pPr>
            <w:r>
              <w:rPr>
                <w:sz w:val="22"/>
              </w:rPr>
              <w:t>互连模块</w:t>
            </w:r>
          </w:p>
        </w:tc>
        <w:tc>
          <w:tcPr>
            <w:tcW w:w="7821" w:type="dxa"/>
            <w:shd w:val="clear" w:color="auto" w:fill="auto"/>
            <w:noWrap/>
            <w:vAlign w:val="center"/>
          </w:tcPr>
          <w:p w:rsidR="004C4732" w:rsidRDefault="004C4732" w:rsidP="004C4732">
            <w:pPr>
              <w:numPr>
                <w:ilvl w:val="0"/>
                <w:numId w:val="14"/>
              </w:numPr>
              <w:jc w:val="left"/>
              <w:rPr>
                <w:rFonts w:ascii="宋体" w:eastAsia="宋体" w:hAnsi="宋体" w:cs="宋体"/>
                <w:sz w:val="20"/>
                <w:szCs w:val="20"/>
              </w:rPr>
            </w:pPr>
            <w:r>
              <w:rPr>
                <w:rFonts w:ascii="宋体" w:eastAsia="宋体" w:hAnsi="宋体" w:cs="宋体"/>
                <w:sz w:val="20"/>
                <w:szCs w:val="20"/>
              </w:rPr>
              <w:t xml:space="preserve">核心组件：含 </w:t>
            </w:r>
            <w:proofErr w:type="spellStart"/>
            <w:r>
              <w:rPr>
                <w:rFonts w:ascii="宋体" w:eastAsia="宋体" w:hAnsi="宋体" w:cs="宋体"/>
                <w:sz w:val="20"/>
                <w:szCs w:val="20"/>
              </w:rPr>
              <w:t>NVLink</w:t>
            </w:r>
            <w:proofErr w:type="spellEnd"/>
            <w:r>
              <w:rPr>
                <w:rFonts w:ascii="宋体" w:eastAsia="宋体" w:hAnsi="宋体" w:cs="宋体"/>
                <w:sz w:val="20"/>
                <w:szCs w:val="20"/>
              </w:rPr>
              <w:t xml:space="preserve"> 3.0 链路及 </w:t>
            </w:r>
            <w:proofErr w:type="spellStart"/>
            <w:r>
              <w:rPr>
                <w:rFonts w:ascii="宋体" w:eastAsia="宋体" w:hAnsi="宋体" w:cs="宋体"/>
                <w:sz w:val="20"/>
                <w:szCs w:val="20"/>
              </w:rPr>
              <w:t>NVSwitch</w:t>
            </w:r>
            <w:proofErr w:type="spellEnd"/>
            <w:r>
              <w:rPr>
                <w:rFonts w:ascii="宋体" w:eastAsia="宋体" w:hAnsi="宋体" w:cs="宋体"/>
                <w:sz w:val="20"/>
                <w:szCs w:val="20"/>
              </w:rPr>
              <w:t xml:space="preserve"> 交换芯片；</w:t>
            </w:r>
          </w:p>
          <w:p w:rsidR="004C4732" w:rsidRDefault="004C4732" w:rsidP="004C4732">
            <w:pPr>
              <w:numPr>
                <w:ilvl w:val="0"/>
                <w:numId w:val="14"/>
              </w:numPr>
              <w:jc w:val="left"/>
              <w:rPr>
                <w:rFonts w:ascii="宋体" w:eastAsia="宋体" w:hAnsi="宋体" w:cs="宋体"/>
                <w:sz w:val="20"/>
                <w:szCs w:val="20"/>
              </w:rPr>
            </w:pPr>
            <w:proofErr w:type="spellStart"/>
            <w:r>
              <w:rPr>
                <w:rFonts w:ascii="宋体" w:eastAsia="宋体" w:hAnsi="宋体" w:cs="宋体"/>
                <w:sz w:val="20"/>
                <w:szCs w:val="20"/>
              </w:rPr>
              <w:t>NVSwitch</w:t>
            </w:r>
            <w:proofErr w:type="spellEnd"/>
            <w:r>
              <w:rPr>
                <w:rFonts w:ascii="宋体" w:eastAsia="宋体" w:hAnsi="宋体" w:cs="宋体"/>
                <w:sz w:val="20"/>
                <w:szCs w:val="20"/>
              </w:rPr>
              <w:t xml:space="preserve"> 数量：2 颗；</w:t>
            </w:r>
          </w:p>
          <w:p w:rsidR="004C4732" w:rsidRDefault="004C4732" w:rsidP="004C4732">
            <w:pPr>
              <w:numPr>
                <w:ilvl w:val="0"/>
                <w:numId w:val="14"/>
              </w:numPr>
              <w:jc w:val="left"/>
              <w:rPr>
                <w:rFonts w:ascii="宋体" w:eastAsia="宋体" w:hAnsi="宋体" w:cs="宋体"/>
                <w:sz w:val="20"/>
                <w:szCs w:val="20"/>
              </w:rPr>
            </w:pPr>
            <w:r>
              <w:rPr>
                <w:rFonts w:ascii="宋体" w:eastAsia="宋体" w:hAnsi="宋体" w:cs="宋体"/>
                <w:sz w:val="20"/>
                <w:szCs w:val="20"/>
              </w:rPr>
              <w:t xml:space="preserve">单芯片端口：18 </w:t>
            </w:r>
            <w:proofErr w:type="gramStart"/>
            <w:r>
              <w:rPr>
                <w:rFonts w:ascii="宋体" w:eastAsia="宋体" w:hAnsi="宋体" w:cs="宋体"/>
                <w:sz w:val="20"/>
                <w:szCs w:val="20"/>
              </w:rPr>
              <w:t>个</w:t>
            </w:r>
            <w:proofErr w:type="gramEnd"/>
            <w:r>
              <w:rPr>
                <w:rFonts w:ascii="宋体" w:eastAsia="宋体" w:hAnsi="宋体" w:cs="宋体"/>
                <w:sz w:val="20"/>
                <w:szCs w:val="20"/>
              </w:rPr>
              <w:t xml:space="preserve"> </w:t>
            </w:r>
            <w:proofErr w:type="spellStart"/>
            <w:r>
              <w:rPr>
                <w:rFonts w:ascii="宋体" w:eastAsia="宋体" w:hAnsi="宋体" w:cs="宋体"/>
                <w:sz w:val="20"/>
                <w:szCs w:val="20"/>
              </w:rPr>
              <w:t>NVLink</w:t>
            </w:r>
            <w:proofErr w:type="spellEnd"/>
            <w:r>
              <w:rPr>
                <w:rFonts w:ascii="宋体" w:eastAsia="宋体" w:hAnsi="宋体" w:cs="宋体"/>
                <w:sz w:val="20"/>
                <w:szCs w:val="20"/>
              </w:rPr>
              <w:t xml:space="preserve"> 3.0 端口；</w:t>
            </w:r>
          </w:p>
          <w:p w:rsidR="004C4732" w:rsidRDefault="004C4732" w:rsidP="004C4732">
            <w:pPr>
              <w:numPr>
                <w:ilvl w:val="0"/>
                <w:numId w:val="14"/>
              </w:numPr>
              <w:jc w:val="left"/>
              <w:rPr>
                <w:rFonts w:ascii="宋体" w:eastAsia="宋体" w:hAnsi="宋体" w:cs="宋体"/>
                <w:sz w:val="20"/>
                <w:szCs w:val="20"/>
              </w:rPr>
            </w:pPr>
            <w:r>
              <w:rPr>
                <w:rFonts w:ascii="宋体" w:eastAsia="宋体" w:hAnsi="宋体" w:cs="宋体"/>
                <w:sz w:val="20"/>
                <w:szCs w:val="20"/>
              </w:rPr>
              <w:t>单芯片交换能力：单向 4.5 TB/s，双向 9 TB/s 聚合带宽（18 ports × 25 GB/s/port）；</w:t>
            </w:r>
          </w:p>
          <w:p w:rsidR="004C4732" w:rsidRDefault="004C4732" w:rsidP="004C4732">
            <w:pPr>
              <w:numPr>
                <w:ilvl w:val="0"/>
                <w:numId w:val="14"/>
              </w:numPr>
              <w:jc w:val="left"/>
              <w:rPr>
                <w:rFonts w:ascii="宋体" w:eastAsia="宋体" w:hAnsi="宋体" w:cs="宋体"/>
                <w:sz w:val="20"/>
                <w:szCs w:val="20"/>
              </w:rPr>
            </w:pPr>
            <w:r>
              <w:rPr>
                <w:rFonts w:ascii="宋体" w:eastAsia="宋体" w:hAnsi="宋体" w:cs="宋体"/>
                <w:sz w:val="20"/>
                <w:szCs w:val="20"/>
              </w:rPr>
              <w:t>GPU 间通信带宽：单节点内任意 GPU 间双向带宽≥600 GB/s；</w:t>
            </w:r>
          </w:p>
          <w:p w:rsidR="004C4732" w:rsidRDefault="004C4732" w:rsidP="00BB52E8">
            <w:pPr>
              <w:jc w:val="left"/>
              <w:rPr>
                <w:rFonts w:cs="Times New Roman"/>
                <w:sz w:val="24"/>
                <w:szCs w:val="24"/>
              </w:rPr>
            </w:pPr>
            <w:r>
              <w:rPr>
                <w:rFonts w:ascii="宋体" w:eastAsia="宋体" w:hAnsi="宋体" w:cs="宋体"/>
                <w:sz w:val="20"/>
                <w:szCs w:val="20"/>
              </w:rPr>
              <w:t>6. 功能：实现多 GPU 间低延迟、高带宽数据交互，支持集群扩展</w:t>
            </w:r>
          </w:p>
        </w:tc>
        <w:tc>
          <w:tcPr>
            <w:tcW w:w="313" w:type="dxa"/>
            <w:shd w:val="clear" w:color="auto" w:fill="auto"/>
            <w:noWrap/>
            <w:vAlign w:val="center"/>
          </w:tcPr>
          <w:p w:rsidR="004C4732" w:rsidRDefault="004C4732" w:rsidP="00BB52E8">
            <w:pPr>
              <w:jc w:val="center"/>
              <w:rPr>
                <w:rFonts w:ascii="Arial" w:hAnsi="Arial" w:cs="Arial"/>
                <w:color w:val="FF0000"/>
                <w:kern w:val="0"/>
                <w:szCs w:val="21"/>
              </w:rPr>
            </w:pPr>
            <w:r>
              <w:rPr>
                <w:rFonts w:hint="eastAsia"/>
                <w:sz w:val="24"/>
                <w:szCs w:val="24"/>
              </w:rPr>
              <w:t>1</w:t>
            </w:r>
          </w:p>
        </w:tc>
        <w:tc>
          <w:tcPr>
            <w:tcW w:w="465" w:type="dxa"/>
            <w:shd w:val="clear" w:color="auto" w:fill="auto"/>
            <w:noWrap/>
            <w:vAlign w:val="center"/>
          </w:tcPr>
          <w:p w:rsidR="004C4732" w:rsidRDefault="004C4732" w:rsidP="00BB52E8">
            <w:pPr>
              <w:jc w:val="center"/>
              <w:rPr>
                <w:rFonts w:ascii="Arial" w:hAnsi="Arial" w:cs="Arial"/>
                <w:color w:val="FF0000"/>
                <w:kern w:val="0"/>
                <w:szCs w:val="21"/>
              </w:rPr>
            </w:pPr>
            <w:r>
              <w:rPr>
                <w:rFonts w:hint="eastAsia"/>
                <w:sz w:val="24"/>
                <w:szCs w:val="24"/>
              </w:rPr>
              <w:t>套</w:t>
            </w:r>
          </w:p>
        </w:tc>
      </w:tr>
      <w:tr w:rsidR="004C4732" w:rsidTr="00BB52E8">
        <w:trPr>
          <w:trHeight w:val="1247"/>
          <w:jc w:val="center"/>
        </w:trPr>
        <w:tc>
          <w:tcPr>
            <w:tcW w:w="616" w:type="dxa"/>
            <w:vAlign w:val="center"/>
          </w:tcPr>
          <w:p w:rsidR="004C4732" w:rsidRDefault="004C4732" w:rsidP="00BB52E8">
            <w:pPr>
              <w:jc w:val="center"/>
              <w:rPr>
                <w:rFonts w:ascii="Arial" w:hAnsi="Arial" w:cs="Arial"/>
                <w:color w:val="000000"/>
                <w:kern w:val="0"/>
                <w:sz w:val="20"/>
                <w:szCs w:val="20"/>
              </w:rPr>
            </w:pPr>
            <w:r>
              <w:rPr>
                <w:rFonts w:hint="eastAsia"/>
                <w:sz w:val="22"/>
              </w:rPr>
              <w:t>4</w:t>
            </w:r>
          </w:p>
        </w:tc>
        <w:tc>
          <w:tcPr>
            <w:tcW w:w="851" w:type="dxa"/>
            <w:shd w:val="clear" w:color="auto" w:fill="auto"/>
            <w:noWrap/>
            <w:vAlign w:val="center"/>
          </w:tcPr>
          <w:p w:rsidR="004C4732" w:rsidRDefault="004C4732" w:rsidP="00BB52E8">
            <w:pPr>
              <w:jc w:val="center"/>
              <w:rPr>
                <w:rFonts w:ascii="Arial" w:hAnsi="Arial" w:cs="Arial"/>
                <w:color w:val="FF0000"/>
                <w:kern w:val="0"/>
                <w:sz w:val="20"/>
                <w:szCs w:val="20"/>
              </w:rPr>
            </w:pPr>
            <w:r>
              <w:rPr>
                <w:sz w:val="22"/>
              </w:rPr>
              <w:t>电源和散热模块</w:t>
            </w:r>
          </w:p>
        </w:tc>
        <w:tc>
          <w:tcPr>
            <w:tcW w:w="7821" w:type="dxa"/>
            <w:shd w:val="clear" w:color="auto" w:fill="auto"/>
            <w:noWrap/>
            <w:vAlign w:val="center"/>
          </w:tcPr>
          <w:p w:rsidR="004C4732" w:rsidRDefault="004C4732" w:rsidP="00BB52E8">
            <w:pPr>
              <w:jc w:val="left"/>
              <w:rPr>
                <w:rFonts w:ascii="宋体" w:eastAsia="宋体" w:hAnsi="宋体" w:cs="宋体"/>
                <w:sz w:val="20"/>
                <w:szCs w:val="20"/>
              </w:rPr>
            </w:pPr>
            <w:r>
              <w:rPr>
                <w:rFonts w:ascii="宋体" w:eastAsia="宋体" w:hAnsi="宋体" w:cs="宋体"/>
                <w:sz w:val="20"/>
                <w:szCs w:val="20"/>
              </w:rPr>
              <w:t>电源模块要求：</w:t>
            </w:r>
          </w:p>
          <w:p w:rsidR="004C4732" w:rsidRDefault="004C4732" w:rsidP="004C4732">
            <w:pPr>
              <w:numPr>
                <w:ilvl w:val="0"/>
                <w:numId w:val="15"/>
              </w:numPr>
              <w:jc w:val="left"/>
              <w:rPr>
                <w:rFonts w:ascii="宋体" w:eastAsia="宋体" w:hAnsi="宋体" w:cs="宋体"/>
                <w:sz w:val="20"/>
                <w:szCs w:val="20"/>
              </w:rPr>
            </w:pPr>
            <w:r>
              <w:rPr>
                <w:rFonts w:ascii="宋体" w:eastAsia="宋体" w:hAnsi="宋体" w:cs="宋体"/>
                <w:sz w:val="20"/>
                <w:szCs w:val="20"/>
              </w:rPr>
              <w:t>电压调节模块（VRM）：采用多相设计，核心（</w:t>
            </w:r>
            <w:proofErr w:type="spellStart"/>
            <w:r>
              <w:rPr>
                <w:rFonts w:ascii="宋体" w:eastAsia="宋体" w:hAnsi="宋体" w:cs="宋体"/>
                <w:sz w:val="20"/>
                <w:szCs w:val="20"/>
              </w:rPr>
              <w:t>Vcore</w:t>
            </w:r>
            <w:proofErr w:type="spellEnd"/>
            <w:r>
              <w:rPr>
                <w:rFonts w:ascii="宋体" w:eastAsia="宋体" w:hAnsi="宋体" w:cs="宋体"/>
                <w:sz w:val="20"/>
                <w:szCs w:val="20"/>
              </w:rPr>
              <w:t>）供电≥8 相，显存（</w:t>
            </w:r>
            <w:proofErr w:type="spellStart"/>
            <w:r>
              <w:rPr>
                <w:rFonts w:ascii="宋体" w:eastAsia="宋体" w:hAnsi="宋体" w:cs="宋体"/>
                <w:sz w:val="20"/>
                <w:szCs w:val="20"/>
              </w:rPr>
              <w:t>Vmem</w:t>
            </w:r>
            <w:proofErr w:type="spellEnd"/>
            <w:r>
              <w:rPr>
                <w:rFonts w:ascii="宋体" w:eastAsia="宋体" w:hAnsi="宋体" w:cs="宋体"/>
                <w:sz w:val="20"/>
                <w:szCs w:val="20"/>
              </w:rPr>
              <w:t xml:space="preserve">）供电≥3 相，配备 </w:t>
            </w:r>
            <w:proofErr w:type="spellStart"/>
            <w:r>
              <w:rPr>
                <w:rFonts w:ascii="宋体" w:eastAsia="宋体" w:hAnsi="宋体" w:cs="宋体"/>
                <w:sz w:val="20"/>
                <w:szCs w:val="20"/>
              </w:rPr>
              <w:t>DrMOS</w:t>
            </w:r>
            <w:proofErr w:type="spellEnd"/>
            <w:r>
              <w:rPr>
                <w:rFonts w:ascii="宋体" w:eastAsia="宋体" w:hAnsi="宋体" w:cs="宋体"/>
                <w:sz w:val="20"/>
                <w:szCs w:val="20"/>
              </w:rPr>
              <w:t xml:space="preserve"> 或同等高效功率器件；</w:t>
            </w:r>
          </w:p>
          <w:p w:rsidR="004C4732" w:rsidRDefault="004C4732" w:rsidP="004C4732">
            <w:pPr>
              <w:numPr>
                <w:ilvl w:val="0"/>
                <w:numId w:val="15"/>
              </w:numPr>
              <w:jc w:val="left"/>
              <w:rPr>
                <w:rFonts w:ascii="宋体" w:eastAsia="宋体" w:hAnsi="宋体" w:cs="宋体"/>
                <w:sz w:val="20"/>
                <w:szCs w:val="20"/>
              </w:rPr>
            </w:pPr>
            <w:r>
              <w:rPr>
                <w:rFonts w:ascii="宋体" w:eastAsia="宋体" w:hAnsi="宋体" w:cs="宋体"/>
                <w:sz w:val="20"/>
                <w:szCs w:val="20"/>
              </w:rPr>
              <w:t>输入电容：采用高分子固态电容，</w:t>
            </w:r>
            <w:proofErr w:type="gramStart"/>
            <w:r>
              <w:rPr>
                <w:rFonts w:ascii="宋体" w:eastAsia="宋体" w:hAnsi="宋体" w:cs="宋体"/>
                <w:sz w:val="20"/>
                <w:szCs w:val="20"/>
              </w:rPr>
              <w:t>总容值</w:t>
            </w:r>
            <w:proofErr w:type="gramEnd"/>
            <w:r>
              <w:rPr>
                <w:rFonts w:ascii="宋体" w:eastAsia="宋体" w:hAnsi="宋体" w:cs="宋体"/>
                <w:sz w:val="20"/>
                <w:szCs w:val="20"/>
              </w:rPr>
              <w:t>≥2000μF；</w:t>
            </w:r>
          </w:p>
          <w:p w:rsidR="004C4732" w:rsidRDefault="004C4732" w:rsidP="004C4732">
            <w:pPr>
              <w:numPr>
                <w:ilvl w:val="0"/>
                <w:numId w:val="15"/>
              </w:numPr>
              <w:jc w:val="left"/>
              <w:rPr>
                <w:rFonts w:ascii="宋体" w:eastAsia="宋体" w:hAnsi="宋体" w:cs="宋体"/>
                <w:sz w:val="20"/>
                <w:szCs w:val="20"/>
              </w:rPr>
            </w:pPr>
            <w:r>
              <w:rPr>
                <w:rFonts w:ascii="宋体" w:eastAsia="宋体" w:hAnsi="宋体" w:cs="宋体"/>
                <w:sz w:val="20"/>
                <w:szCs w:val="20"/>
              </w:rPr>
              <w:t>电感：高效铁氧体磁屏蔽电感，</w:t>
            </w:r>
            <w:proofErr w:type="gramStart"/>
            <w:r>
              <w:rPr>
                <w:rFonts w:ascii="宋体" w:eastAsia="宋体" w:hAnsi="宋体" w:cs="宋体"/>
                <w:sz w:val="20"/>
                <w:szCs w:val="20"/>
              </w:rPr>
              <w:t>每相额定电流</w:t>
            </w:r>
            <w:proofErr w:type="gramEnd"/>
            <w:r>
              <w:rPr>
                <w:rFonts w:ascii="宋体" w:eastAsia="宋体" w:hAnsi="宋体" w:cs="宋体"/>
                <w:sz w:val="20"/>
                <w:szCs w:val="20"/>
              </w:rPr>
              <w:t>≥40A；</w:t>
            </w:r>
          </w:p>
          <w:p w:rsidR="004C4732" w:rsidRDefault="004C4732" w:rsidP="004C4732">
            <w:pPr>
              <w:numPr>
                <w:ilvl w:val="0"/>
                <w:numId w:val="15"/>
              </w:numPr>
              <w:jc w:val="left"/>
              <w:rPr>
                <w:rFonts w:ascii="宋体" w:eastAsia="宋体" w:hAnsi="宋体" w:cs="宋体"/>
                <w:sz w:val="20"/>
                <w:szCs w:val="20"/>
              </w:rPr>
            </w:pPr>
            <w:r>
              <w:rPr>
                <w:rFonts w:ascii="宋体" w:eastAsia="宋体" w:hAnsi="宋体" w:cs="宋体"/>
                <w:sz w:val="20"/>
                <w:szCs w:val="20"/>
              </w:rPr>
              <w:t>PWM 控制器：具备精确多相数字 PWM 控制、负载平衡功能，支持过流 / 过压 / 过温三重保护；</w:t>
            </w:r>
          </w:p>
          <w:p w:rsidR="004C4732" w:rsidRDefault="004C4732" w:rsidP="004C4732">
            <w:pPr>
              <w:numPr>
                <w:ilvl w:val="0"/>
                <w:numId w:val="15"/>
              </w:numPr>
              <w:jc w:val="left"/>
              <w:rPr>
                <w:rFonts w:ascii="宋体" w:eastAsia="宋体" w:hAnsi="宋体" w:cs="宋体"/>
                <w:sz w:val="20"/>
                <w:szCs w:val="20"/>
              </w:rPr>
            </w:pPr>
            <w:r>
              <w:rPr>
                <w:rFonts w:ascii="宋体" w:eastAsia="宋体" w:hAnsi="宋体" w:cs="宋体"/>
                <w:sz w:val="20"/>
                <w:szCs w:val="20"/>
              </w:rPr>
              <w:t>VRM 散热：VRM 区域配备独立散热片，与主散热器或风道有效导热；</w:t>
            </w:r>
          </w:p>
          <w:p w:rsidR="004C4732" w:rsidRDefault="004C4732" w:rsidP="00BB52E8">
            <w:pPr>
              <w:jc w:val="left"/>
              <w:rPr>
                <w:rFonts w:ascii="宋体" w:eastAsia="宋体" w:hAnsi="宋体" w:cs="宋体"/>
                <w:sz w:val="20"/>
                <w:szCs w:val="20"/>
              </w:rPr>
            </w:pPr>
            <w:r>
              <w:rPr>
                <w:rFonts w:ascii="宋体" w:eastAsia="宋体" w:hAnsi="宋体" w:cs="宋体"/>
                <w:sz w:val="20"/>
                <w:szCs w:val="20"/>
              </w:rPr>
              <w:t>散热器要求：</w:t>
            </w:r>
          </w:p>
          <w:p w:rsidR="004C4732" w:rsidRDefault="004C4732" w:rsidP="004C4732">
            <w:pPr>
              <w:numPr>
                <w:ilvl w:val="0"/>
                <w:numId w:val="16"/>
              </w:numPr>
              <w:jc w:val="left"/>
              <w:rPr>
                <w:rFonts w:ascii="宋体" w:eastAsia="宋体" w:hAnsi="宋体" w:cs="宋体"/>
                <w:sz w:val="20"/>
                <w:szCs w:val="20"/>
              </w:rPr>
            </w:pPr>
            <w:r>
              <w:rPr>
                <w:rFonts w:ascii="宋体" w:eastAsia="宋体" w:hAnsi="宋体" w:cs="宋体"/>
                <w:sz w:val="20"/>
                <w:szCs w:val="20"/>
              </w:rPr>
              <w:t>散热方式：主动式涡轮风扇散热；</w:t>
            </w:r>
          </w:p>
          <w:p w:rsidR="004C4732" w:rsidRDefault="004C4732" w:rsidP="00BB52E8">
            <w:pPr>
              <w:jc w:val="left"/>
              <w:rPr>
                <w:rFonts w:cs="Times New Roman"/>
                <w:sz w:val="24"/>
                <w:szCs w:val="24"/>
              </w:rPr>
            </w:pPr>
            <w:r>
              <w:rPr>
                <w:rFonts w:ascii="宋体" w:eastAsia="宋体" w:hAnsi="宋体" w:cs="宋体"/>
                <w:sz w:val="20"/>
                <w:szCs w:val="20"/>
              </w:rPr>
              <w:t>2. 散热器本体：大面积真空</w:t>
            </w:r>
            <w:proofErr w:type="gramStart"/>
            <w:r>
              <w:rPr>
                <w:rFonts w:ascii="宋体" w:eastAsia="宋体" w:hAnsi="宋体" w:cs="宋体"/>
                <w:sz w:val="20"/>
                <w:szCs w:val="20"/>
              </w:rPr>
              <w:t>腔</w:t>
            </w:r>
            <w:proofErr w:type="gramEnd"/>
            <w:r>
              <w:rPr>
                <w:rFonts w:ascii="宋体" w:eastAsia="宋体" w:hAnsi="宋体" w:cs="宋体"/>
                <w:sz w:val="20"/>
                <w:szCs w:val="20"/>
              </w:rPr>
              <w:t>均热板（覆盖 GPU 核心及关键部件），高密度铝制鳍片（总散热面积≥1500 cm²），配备≥4 根 6mm 烧结热管（</w:t>
            </w:r>
            <w:proofErr w:type="gramStart"/>
            <w:r>
              <w:rPr>
                <w:rFonts w:ascii="宋体" w:eastAsia="宋体" w:hAnsi="宋体" w:cs="宋体"/>
                <w:sz w:val="20"/>
                <w:szCs w:val="20"/>
              </w:rPr>
              <w:t>贯穿鳍片阵列</w:t>
            </w:r>
            <w:proofErr w:type="gramEnd"/>
            <w:r>
              <w:rPr>
                <w:rFonts w:ascii="宋体" w:eastAsia="宋体" w:hAnsi="宋体" w:cs="宋体"/>
                <w:sz w:val="20"/>
                <w:szCs w:val="20"/>
              </w:rPr>
              <w:t>）；3. 风扇规格：轴向离心式（鼓风机）风扇，支持 PWM 智能调速，风扇直径≥70mm，最大转速≥4500 RPM，风量≥15 CFM</w:t>
            </w:r>
          </w:p>
        </w:tc>
        <w:tc>
          <w:tcPr>
            <w:tcW w:w="313" w:type="dxa"/>
            <w:shd w:val="clear" w:color="auto" w:fill="auto"/>
            <w:noWrap/>
            <w:vAlign w:val="center"/>
          </w:tcPr>
          <w:p w:rsidR="004C4732" w:rsidRDefault="004C4732" w:rsidP="00BB52E8">
            <w:pPr>
              <w:jc w:val="center"/>
              <w:rPr>
                <w:rFonts w:ascii="Arial" w:hAnsi="Arial" w:cs="Arial"/>
                <w:color w:val="FF0000"/>
                <w:kern w:val="0"/>
                <w:szCs w:val="21"/>
              </w:rPr>
            </w:pPr>
            <w:r>
              <w:rPr>
                <w:rFonts w:hint="eastAsia"/>
                <w:sz w:val="24"/>
                <w:szCs w:val="24"/>
              </w:rPr>
              <w:t>1</w:t>
            </w:r>
          </w:p>
        </w:tc>
        <w:tc>
          <w:tcPr>
            <w:tcW w:w="465" w:type="dxa"/>
            <w:shd w:val="clear" w:color="auto" w:fill="auto"/>
            <w:noWrap/>
            <w:vAlign w:val="center"/>
          </w:tcPr>
          <w:p w:rsidR="004C4732" w:rsidRDefault="004C4732" w:rsidP="00BB52E8">
            <w:pPr>
              <w:jc w:val="center"/>
              <w:rPr>
                <w:rFonts w:ascii="Arial" w:hAnsi="Arial" w:cs="Arial"/>
                <w:color w:val="FF0000"/>
                <w:kern w:val="0"/>
                <w:szCs w:val="21"/>
              </w:rPr>
            </w:pPr>
            <w:r>
              <w:rPr>
                <w:rFonts w:hint="eastAsia"/>
                <w:sz w:val="24"/>
                <w:szCs w:val="24"/>
              </w:rPr>
              <w:t>套</w:t>
            </w:r>
          </w:p>
        </w:tc>
      </w:tr>
      <w:tr w:rsidR="004C4732" w:rsidTr="00BB52E8">
        <w:trPr>
          <w:trHeight w:val="1552"/>
          <w:jc w:val="center"/>
        </w:trPr>
        <w:tc>
          <w:tcPr>
            <w:tcW w:w="616" w:type="dxa"/>
            <w:vAlign w:val="center"/>
          </w:tcPr>
          <w:p w:rsidR="004C4732" w:rsidRDefault="004C4732" w:rsidP="00BB52E8">
            <w:pPr>
              <w:jc w:val="center"/>
              <w:rPr>
                <w:rFonts w:ascii="Arial" w:hAnsi="Arial" w:cs="Arial"/>
                <w:color w:val="000000"/>
                <w:kern w:val="0"/>
                <w:sz w:val="20"/>
                <w:szCs w:val="20"/>
              </w:rPr>
            </w:pPr>
            <w:r>
              <w:rPr>
                <w:rFonts w:hint="eastAsia"/>
                <w:sz w:val="22"/>
              </w:rPr>
              <w:lastRenderedPageBreak/>
              <w:t>5</w:t>
            </w:r>
          </w:p>
        </w:tc>
        <w:tc>
          <w:tcPr>
            <w:tcW w:w="851" w:type="dxa"/>
            <w:shd w:val="clear" w:color="auto" w:fill="auto"/>
            <w:noWrap/>
            <w:vAlign w:val="center"/>
          </w:tcPr>
          <w:p w:rsidR="004C4732" w:rsidRDefault="004C4732" w:rsidP="00BB52E8">
            <w:pPr>
              <w:jc w:val="center"/>
              <w:rPr>
                <w:rFonts w:ascii="Arial" w:hAnsi="Arial" w:cs="Arial"/>
                <w:color w:val="FF0000"/>
                <w:kern w:val="0"/>
                <w:sz w:val="20"/>
                <w:szCs w:val="20"/>
              </w:rPr>
            </w:pPr>
            <w:r>
              <w:rPr>
                <w:sz w:val="22"/>
              </w:rPr>
              <w:t>封装</w:t>
            </w:r>
            <w:proofErr w:type="gramStart"/>
            <w:r>
              <w:rPr>
                <w:sz w:val="22"/>
              </w:rPr>
              <w:t>和载板</w:t>
            </w:r>
            <w:r>
              <w:rPr>
                <w:rFonts w:hint="eastAsia"/>
                <w:sz w:val="22"/>
              </w:rPr>
              <w:t>模块</w:t>
            </w:r>
            <w:proofErr w:type="gramEnd"/>
          </w:p>
        </w:tc>
        <w:tc>
          <w:tcPr>
            <w:tcW w:w="7821" w:type="dxa"/>
            <w:shd w:val="clear" w:color="auto" w:fill="auto"/>
            <w:noWrap/>
            <w:vAlign w:val="center"/>
          </w:tcPr>
          <w:p w:rsidR="004C4732" w:rsidRDefault="004C4732" w:rsidP="00BB52E8">
            <w:pPr>
              <w:jc w:val="left"/>
              <w:rPr>
                <w:rFonts w:ascii="宋体" w:eastAsia="宋体" w:hAnsi="宋体" w:cs="宋体"/>
                <w:sz w:val="20"/>
                <w:szCs w:val="20"/>
              </w:rPr>
            </w:pPr>
            <w:r>
              <w:rPr>
                <w:rFonts w:ascii="宋体" w:hAnsi="宋体" w:cs="宋体" w:hint="eastAsia"/>
                <w:sz w:val="20"/>
                <w:szCs w:val="20"/>
              </w:rPr>
              <w:t>1.</w:t>
            </w:r>
            <w:r>
              <w:rPr>
                <w:rFonts w:ascii="宋体" w:eastAsia="宋体" w:hAnsi="宋体" w:cs="宋体"/>
                <w:sz w:val="20"/>
                <w:szCs w:val="20"/>
              </w:rPr>
              <w:t>封装类型：FCBGA（倒装球栅阵列）封装载板，符合行业标准；</w:t>
            </w:r>
          </w:p>
          <w:p w:rsidR="004C4732" w:rsidRDefault="004C4732" w:rsidP="00BB52E8">
            <w:pPr>
              <w:jc w:val="left"/>
              <w:rPr>
                <w:rFonts w:ascii="宋体" w:eastAsia="宋体" w:hAnsi="宋体" w:cs="宋体"/>
                <w:sz w:val="20"/>
                <w:szCs w:val="20"/>
              </w:rPr>
            </w:pPr>
            <w:r>
              <w:rPr>
                <w:rFonts w:ascii="宋体" w:eastAsia="宋体" w:hAnsi="宋体" w:cs="宋体"/>
                <w:sz w:val="20"/>
                <w:szCs w:val="20"/>
              </w:rPr>
              <w:t xml:space="preserve">2. </w:t>
            </w:r>
            <w:proofErr w:type="gramStart"/>
            <w:r>
              <w:rPr>
                <w:rFonts w:ascii="宋体" w:eastAsia="宋体" w:hAnsi="宋体" w:cs="宋体"/>
                <w:sz w:val="20"/>
                <w:szCs w:val="20"/>
              </w:rPr>
              <w:t>载板规格</w:t>
            </w:r>
            <w:proofErr w:type="gramEnd"/>
            <w:r>
              <w:rPr>
                <w:rFonts w:ascii="宋体" w:eastAsia="宋体" w:hAnsi="宋体" w:cs="宋体"/>
                <w:sz w:val="20"/>
                <w:szCs w:val="20"/>
              </w:rPr>
              <w:t>：承载 A100 全模块的 PCB 主板，材质为高导热、低损耗玻纤基板；</w:t>
            </w:r>
          </w:p>
          <w:p w:rsidR="004C4732" w:rsidRDefault="004C4732" w:rsidP="00BB52E8">
            <w:pPr>
              <w:jc w:val="left"/>
              <w:rPr>
                <w:rFonts w:cs="Times New Roman"/>
                <w:sz w:val="24"/>
                <w:szCs w:val="24"/>
              </w:rPr>
            </w:pPr>
            <w:r>
              <w:rPr>
                <w:rFonts w:ascii="宋体" w:eastAsia="宋体" w:hAnsi="宋体" w:cs="宋体"/>
                <w:sz w:val="20"/>
                <w:szCs w:val="20"/>
              </w:rPr>
              <w:t>3. 工艺要求：支持高密度焊点布局，信号传输损耗≤3%，适配核心模块、显存模块等组件的焊接安装</w:t>
            </w:r>
          </w:p>
        </w:tc>
        <w:tc>
          <w:tcPr>
            <w:tcW w:w="313" w:type="dxa"/>
            <w:shd w:val="clear" w:color="auto" w:fill="auto"/>
            <w:noWrap/>
            <w:vAlign w:val="center"/>
          </w:tcPr>
          <w:p w:rsidR="004C4732" w:rsidRDefault="004C4732" w:rsidP="00BB52E8">
            <w:pPr>
              <w:jc w:val="center"/>
              <w:rPr>
                <w:rFonts w:ascii="Arial" w:hAnsi="Arial" w:cs="Arial"/>
                <w:color w:val="FF0000"/>
                <w:kern w:val="0"/>
                <w:szCs w:val="21"/>
              </w:rPr>
            </w:pPr>
            <w:r>
              <w:rPr>
                <w:rFonts w:hint="eastAsia"/>
                <w:sz w:val="24"/>
                <w:szCs w:val="24"/>
              </w:rPr>
              <w:t>1</w:t>
            </w:r>
          </w:p>
        </w:tc>
        <w:tc>
          <w:tcPr>
            <w:tcW w:w="465" w:type="dxa"/>
            <w:shd w:val="clear" w:color="auto" w:fill="auto"/>
            <w:noWrap/>
            <w:vAlign w:val="center"/>
          </w:tcPr>
          <w:p w:rsidR="004C4732" w:rsidRDefault="004C4732" w:rsidP="00BB52E8">
            <w:pPr>
              <w:jc w:val="center"/>
              <w:rPr>
                <w:rFonts w:ascii="Arial" w:hAnsi="Arial" w:cs="Arial"/>
                <w:color w:val="FF0000"/>
                <w:kern w:val="0"/>
                <w:szCs w:val="21"/>
              </w:rPr>
            </w:pPr>
            <w:r>
              <w:rPr>
                <w:rFonts w:hint="eastAsia"/>
                <w:sz w:val="24"/>
                <w:szCs w:val="24"/>
              </w:rPr>
              <w:t>套</w:t>
            </w:r>
          </w:p>
        </w:tc>
      </w:tr>
      <w:tr w:rsidR="004C4732" w:rsidTr="00BB52E8">
        <w:trPr>
          <w:trHeight w:val="1775"/>
          <w:jc w:val="center"/>
        </w:trPr>
        <w:tc>
          <w:tcPr>
            <w:tcW w:w="616" w:type="dxa"/>
            <w:vAlign w:val="center"/>
          </w:tcPr>
          <w:p w:rsidR="004C4732" w:rsidRDefault="004C4732" w:rsidP="00BB52E8">
            <w:pPr>
              <w:jc w:val="center"/>
              <w:rPr>
                <w:rFonts w:ascii="Arial" w:hAnsi="Arial" w:cs="Arial"/>
                <w:color w:val="000000"/>
                <w:kern w:val="0"/>
                <w:sz w:val="20"/>
                <w:szCs w:val="20"/>
              </w:rPr>
            </w:pPr>
            <w:r>
              <w:rPr>
                <w:rFonts w:hint="eastAsia"/>
                <w:sz w:val="22"/>
              </w:rPr>
              <w:t>6</w:t>
            </w:r>
          </w:p>
        </w:tc>
        <w:tc>
          <w:tcPr>
            <w:tcW w:w="851" w:type="dxa"/>
            <w:shd w:val="clear" w:color="auto" w:fill="auto"/>
            <w:noWrap/>
            <w:vAlign w:val="center"/>
          </w:tcPr>
          <w:p w:rsidR="004C4732" w:rsidRDefault="004C4732" w:rsidP="00BB52E8">
            <w:pPr>
              <w:jc w:val="center"/>
              <w:rPr>
                <w:rFonts w:ascii="Arial" w:hAnsi="Arial" w:cs="Arial"/>
                <w:color w:val="FF0000"/>
                <w:kern w:val="0"/>
                <w:sz w:val="20"/>
                <w:szCs w:val="20"/>
              </w:rPr>
            </w:pPr>
            <w:r>
              <w:rPr>
                <w:sz w:val="22"/>
              </w:rPr>
              <w:t>接口和连接器</w:t>
            </w:r>
            <w:r>
              <w:rPr>
                <w:rFonts w:hint="eastAsia"/>
                <w:sz w:val="22"/>
              </w:rPr>
              <w:t>模块</w:t>
            </w:r>
          </w:p>
        </w:tc>
        <w:tc>
          <w:tcPr>
            <w:tcW w:w="7821" w:type="dxa"/>
            <w:shd w:val="clear" w:color="auto" w:fill="auto"/>
            <w:noWrap/>
            <w:vAlign w:val="center"/>
          </w:tcPr>
          <w:p w:rsidR="004C4732" w:rsidRDefault="004C4732" w:rsidP="004C4732">
            <w:pPr>
              <w:numPr>
                <w:ilvl w:val="0"/>
                <w:numId w:val="17"/>
              </w:numPr>
              <w:jc w:val="left"/>
              <w:rPr>
                <w:rFonts w:ascii="宋体" w:eastAsia="宋体" w:hAnsi="宋体" w:cs="宋体"/>
                <w:sz w:val="20"/>
                <w:szCs w:val="20"/>
              </w:rPr>
            </w:pPr>
            <w:proofErr w:type="spellStart"/>
            <w:r>
              <w:rPr>
                <w:rFonts w:ascii="宋体" w:eastAsia="宋体" w:hAnsi="宋体" w:cs="宋体"/>
                <w:sz w:val="20"/>
                <w:szCs w:val="20"/>
              </w:rPr>
              <w:t>PCIe</w:t>
            </w:r>
            <w:proofErr w:type="spellEnd"/>
            <w:r>
              <w:rPr>
                <w:rFonts w:ascii="宋体" w:eastAsia="宋体" w:hAnsi="宋体" w:cs="宋体"/>
                <w:sz w:val="20"/>
                <w:szCs w:val="20"/>
              </w:rPr>
              <w:t xml:space="preserve"> 接口：支持 </w:t>
            </w:r>
            <w:proofErr w:type="spellStart"/>
            <w:r>
              <w:rPr>
                <w:rFonts w:ascii="宋体" w:eastAsia="宋体" w:hAnsi="宋体" w:cs="宋体"/>
                <w:sz w:val="20"/>
                <w:szCs w:val="20"/>
              </w:rPr>
              <w:t>PCIe</w:t>
            </w:r>
            <w:proofErr w:type="spellEnd"/>
            <w:r>
              <w:rPr>
                <w:rFonts w:ascii="宋体" w:eastAsia="宋体" w:hAnsi="宋体" w:cs="宋体"/>
                <w:sz w:val="20"/>
                <w:szCs w:val="20"/>
              </w:rPr>
              <w:t xml:space="preserve"> 4.0 x16 规范，带宽≥64GB/s；</w:t>
            </w:r>
          </w:p>
          <w:p w:rsidR="004C4732" w:rsidRDefault="004C4732" w:rsidP="004C4732">
            <w:pPr>
              <w:numPr>
                <w:ilvl w:val="0"/>
                <w:numId w:val="17"/>
              </w:numPr>
              <w:jc w:val="left"/>
              <w:rPr>
                <w:rFonts w:ascii="宋体" w:eastAsia="宋体" w:hAnsi="宋体" w:cs="宋体"/>
                <w:sz w:val="20"/>
                <w:szCs w:val="20"/>
              </w:rPr>
            </w:pPr>
            <w:proofErr w:type="spellStart"/>
            <w:r>
              <w:rPr>
                <w:rFonts w:ascii="宋体" w:eastAsia="宋体" w:hAnsi="宋体" w:cs="宋体"/>
                <w:sz w:val="20"/>
                <w:szCs w:val="20"/>
              </w:rPr>
              <w:t>NVLink</w:t>
            </w:r>
            <w:proofErr w:type="spellEnd"/>
            <w:r>
              <w:rPr>
                <w:rFonts w:ascii="宋体" w:eastAsia="宋体" w:hAnsi="宋体" w:cs="宋体"/>
                <w:sz w:val="20"/>
                <w:szCs w:val="20"/>
              </w:rPr>
              <w:t xml:space="preserve"> 接口：适配 </w:t>
            </w:r>
            <w:proofErr w:type="spellStart"/>
            <w:r>
              <w:rPr>
                <w:rFonts w:ascii="宋体" w:eastAsia="宋体" w:hAnsi="宋体" w:cs="宋体"/>
                <w:sz w:val="20"/>
                <w:szCs w:val="20"/>
              </w:rPr>
              <w:t>NVLink</w:t>
            </w:r>
            <w:proofErr w:type="spellEnd"/>
            <w:r>
              <w:rPr>
                <w:rFonts w:ascii="宋体" w:eastAsia="宋体" w:hAnsi="宋体" w:cs="宋体"/>
                <w:sz w:val="20"/>
                <w:szCs w:val="20"/>
              </w:rPr>
              <w:t xml:space="preserve"> 3.0 协议，与互连模块兼容；</w:t>
            </w:r>
          </w:p>
          <w:p w:rsidR="004C4732" w:rsidRDefault="004C4732" w:rsidP="004C4732">
            <w:pPr>
              <w:numPr>
                <w:ilvl w:val="0"/>
                <w:numId w:val="17"/>
              </w:numPr>
              <w:jc w:val="left"/>
              <w:rPr>
                <w:rFonts w:ascii="宋体" w:eastAsia="宋体" w:hAnsi="宋体" w:cs="宋体"/>
                <w:sz w:val="20"/>
                <w:szCs w:val="20"/>
              </w:rPr>
            </w:pPr>
            <w:r>
              <w:rPr>
                <w:rFonts w:ascii="宋体" w:eastAsia="宋体" w:hAnsi="宋体" w:cs="宋体"/>
                <w:sz w:val="20"/>
                <w:szCs w:val="20"/>
              </w:rPr>
              <w:t>电源接口：8 针 EPS 12V 电源接口，支持大电流稳定供电；</w:t>
            </w:r>
          </w:p>
          <w:p w:rsidR="004C4732" w:rsidRDefault="004C4732" w:rsidP="004C4732">
            <w:pPr>
              <w:numPr>
                <w:ilvl w:val="0"/>
                <w:numId w:val="17"/>
              </w:numPr>
              <w:jc w:val="left"/>
              <w:rPr>
                <w:rFonts w:ascii="宋体" w:eastAsia="宋体" w:hAnsi="宋体" w:cs="宋体"/>
                <w:sz w:val="20"/>
                <w:szCs w:val="20"/>
              </w:rPr>
            </w:pPr>
            <w:r>
              <w:rPr>
                <w:rFonts w:ascii="宋体" w:eastAsia="宋体" w:hAnsi="宋体" w:cs="宋体"/>
                <w:sz w:val="20"/>
                <w:szCs w:val="20"/>
              </w:rPr>
              <w:t>风扇接口：4 针 PWM 风扇接口，支持风扇转速智能调控；</w:t>
            </w:r>
          </w:p>
          <w:p w:rsidR="004C4732" w:rsidRDefault="004C4732" w:rsidP="00BB52E8">
            <w:pPr>
              <w:jc w:val="left"/>
              <w:rPr>
                <w:rFonts w:cs="Times New Roman"/>
                <w:sz w:val="24"/>
                <w:szCs w:val="24"/>
              </w:rPr>
            </w:pPr>
            <w:r>
              <w:rPr>
                <w:rFonts w:ascii="宋体" w:eastAsia="宋体" w:hAnsi="宋体" w:cs="宋体"/>
                <w:sz w:val="20"/>
                <w:szCs w:val="20"/>
              </w:rPr>
              <w:t>5. 接口可靠性：插拔寿命≥1000 次，接触电阻≤50mΩ</w:t>
            </w:r>
          </w:p>
        </w:tc>
        <w:tc>
          <w:tcPr>
            <w:tcW w:w="313" w:type="dxa"/>
            <w:shd w:val="clear" w:color="auto" w:fill="auto"/>
            <w:noWrap/>
            <w:vAlign w:val="center"/>
          </w:tcPr>
          <w:p w:rsidR="004C4732" w:rsidRDefault="004C4732" w:rsidP="00BB52E8">
            <w:pPr>
              <w:jc w:val="center"/>
              <w:rPr>
                <w:rFonts w:ascii="Arial" w:hAnsi="Arial" w:cs="Arial"/>
                <w:color w:val="FF0000"/>
                <w:kern w:val="0"/>
                <w:szCs w:val="21"/>
              </w:rPr>
            </w:pPr>
            <w:r>
              <w:rPr>
                <w:rFonts w:hint="eastAsia"/>
                <w:sz w:val="24"/>
                <w:szCs w:val="24"/>
              </w:rPr>
              <w:t>1</w:t>
            </w:r>
          </w:p>
        </w:tc>
        <w:tc>
          <w:tcPr>
            <w:tcW w:w="465" w:type="dxa"/>
            <w:shd w:val="clear" w:color="auto" w:fill="auto"/>
            <w:noWrap/>
            <w:vAlign w:val="center"/>
          </w:tcPr>
          <w:p w:rsidR="004C4732" w:rsidRDefault="004C4732" w:rsidP="00BB52E8">
            <w:pPr>
              <w:jc w:val="center"/>
              <w:rPr>
                <w:rFonts w:ascii="Arial" w:hAnsi="Arial" w:cs="Arial"/>
                <w:color w:val="FF0000"/>
                <w:kern w:val="0"/>
                <w:szCs w:val="21"/>
              </w:rPr>
            </w:pPr>
            <w:r>
              <w:rPr>
                <w:rFonts w:hint="eastAsia"/>
                <w:sz w:val="24"/>
                <w:szCs w:val="24"/>
              </w:rPr>
              <w:t>套</w:t>
            </w:r>
          </w:p>
        </w:tc>
      </w:tr>
      <w:tr w:rsidR="004C4732" w:rsidTr="00BB52E8">
        <w:trPr>
          <w:trHeight w:val="787"/>
          <w:jc w:val="center"/>
        </w:trPr>
        <w:tc>
          <w:tcPr>
            <w:tcW w:w="1467" w:type="dxa"/>
            <w:gridSpan w:val="2"/>
            <w:vAlign w:val="center"/>
          </w:tcPr>
          <w:p w:rsidR="004C4732" w:rsidRDefault="004C4732" w:rsidP="00BB52E8">
            <w:pPr>
              <w:widowControl/>
              <w:jc w:val="center"/>
              <w:rPr>
                <w:rFonts w:ascii="Arial" w:hAnsi="Arial" w:cs="Arial"/>
                <w:color w:val="FF0000"/>
                <w:kern w:val="0"/>
                <w:szCs w:val="21"/>
              </w:rPr>
            </w:pPr>
            <w:r>
              <w:rPr>
                <w:rFonts w:ascii="Arial" w:hAnsi="Arial" w:cs="Arial"/>
                <w:kern w:val="0"/>
                <w:szCs w:val="21"/>
              </w:rPr>
              <w:t>商务要求</w:t>
            </w:r>
          </w:p>
        </w:tc>
        <w:tc>
          <w:tcPr>
            <w:tcW w:w="8599" w:type="dxa"/>
            <w:gridSpan w:val="3"/>
            <w:shd w:val="clear" w:color="auto" w:fill="auto"/>
            <w:noWrap/>
          </w:tcPr>
          <w:p w:rsidR="004C4732" w:rsidRDefault="004C4732" w:rsidP="00BB52E8">
            <w:pPr>
              <w:spacing w:line="360" w:lineRule="auto"/>
              <w:jc w:val="left"/>
            </w:pPr>
            <w:r>
              <w:rPr>
                <w:rFonts w:hint="eastAsia"/>
              </w:rPr>
              <w:t>1.</w:t>
            </w:r>
            <w:r>
              <w:rPr>
                <w:rFonts w:hint="eastAsia"/>
              </w:rPr>
              <w:t>供货时间：自合同签订之日起</w:t>
            </w:r>
            <w:r>
              <w:rPr>
                <w:rFonts w:hint="eastAsia"/>
              </w:rPr>
              <w:t>15</w:t>
            </w:r>
            <w:r>
              <w:rPr>
                <w:rFonts w:hint="eastAsia"/>
              </w:rPr>
              <w:t>日内验收合格并交付使用。</w:t>
            </w:r>
          </w:p>
          <w:p w:rsidR="004C4732" w:rsidRDefault="004C4732" w:rsidP="00BB52E8">
            <w:pPr>
              <w:spacing w:line="360" w:lineRule="auto"/>
              <w:jc w:val="left"/>
              <w:rPr>
                <w:rFonts w:cs="Times New Roman"/>
                <w:szCs w:val="21"/>
              </w:rPr>
            </w:pPr>
            <w:r>
              <w:rPr>
                <w:rFonts w:hint="eastAsia"/>
              </w:rPr>
              <w:t>质保期：自验收合格并交付使用之日起</w:t>
            </w:r>
            <w:r>
              <w:rPr>
                <w:rFonts w:hint="eastAsia"/>
                <w:u w:val="single"/>
              </w:rPr>
              <w:t>3</w:t>
            </w:r>
            <w:r>
              <w:rPr>
                <w:rFonts w:hint="eastAsia"/>
              </w:rPr>
              <w:t>年。</w:t>
            </w:r>
          </w:p>
          <w:p w:rsidR="004C4732" w:rsidRDefault="004C4732" w:rsidP="00BB52E8">
            <w:pPr>
              <w:pStyle w:val="a3"/>
              <w:jc w:val="left"/>
              <w:rPr>
                <w:rFonts w:cs="Times New Roman"/>
                <w:szCs w:val="21"/>
              </w:rPr>
            </w:pPr>
            <w:r>
              <w:rPr>
                <w:rFonts w:cs="Times New Roman" w:hint="eastAsia"/>
                <w:szCs w:val="21"/>
              </w:rPr>
              <w:t>2.</w:t>
            </w:r>
            <w:r>
              <w:rPr>
                <w:rFonts w:cs="Times New Roman" w:hint="eastAsia"/>
                <w:b/>
                <w:bCs/>
                <w:szCs w:val="21"/>
              </w:rPr>
              <w:t>技术支持和服务</w:t>
            </w:r>
            <w:r>
              <w:rPr>
                <w:rFonts w:cs="Times New Roman" w:hint="eastAsia"/>
                <w:szCs w:val="21"/>
              </w:rPr>
              <w:t>：</w:t>
            </w:r>
          </w:p>
          <w:p w:rsidR="004C4732" w:rsidRDefault="004C4732" w:rsidP="00BB52E8">
            <w:pPr>
              <w:pStyle w:val="a3"/>
              <w:jc w:val="left"/>
            </w:pPr>
            <w:r>
              <w:rPr>
                <w:rFonts w:ascii="宋体" w:eastAsia="宋体" w:hAnsi="宋体" w:cs="宋体" w:hint="eastAsia"/>
                <w:sz w:val="20"/>
                <w:szCs w:val="20"/>
              </w:rPr>
              <w:t>项目采购所有模块焊接组装后可正常运行。</w:t>
            </w:r>
            <w:r>
              <w:rPr>
                <w:rFonts w:hint="eastAsia"/>
              </w:rPr>
              <w:t>完全符合强制性的国家技术质量规范和招标文件规定的质量、规格、性能和技术规范等要求的合格产品（包括所有零部件、元器件和附件）。若产品在运输过程中损坏须无偿调换同样产品，以达到供货要求。</w:t>
            </w:r>
          </w:p>
          <w:p w:rsidR="004C4732" w:rsidRDefault="004C4732" w:rsidP="00BB52E8">
            <w:pPr>
              <w:pStyle w:val="a3"/>
              <w:jc w:val="left"/>
              <w:rPr>
                <w:rFonts w:cs="Times New Roman"/>
                <w:szCs w:val="21"/>
              </w:rPr>
            </w:pPr>
            <w:r>
              <w:rPr>
                <w:rFonts w:hint="eastAsia"/>
              </w:rPr>
              <w:t>按国家有关规定报价人承诺实行“三包”（包退、包换、包修）服务，其他售后服务按成交人提交的售后服务承诺书执行。</w:t>
            </w:r>
          </w:p>
          <w:p w:rsidR="004C4732" w:rsidRDefault="004C4732" w:rsidP="00BB52E8">
            <w:pPr>
              <w:pStyle w:val="a3"/>
              <w:jc w:val="left"/>
              <w:rPr>
                <w:rFonts w:cs="Times New Roman"/>
                <w:b/>
                <w:bCs/>
                <w:szCs w:val="21"/>
              </w:rPr>
            </w:pPr>
            <w:r>
              <w:rPr>
                <w:rFonts w:cs="Times New Roman" w:hint="eastAsia"/>
                <w:b/>
                <w:bCs/>
                <w:szCs w:val="21"/>
              </w:rPr>
              <w:t>3.</w:t>
            </w:r>
            <w:r>
              <w:rPr>
                <w:rFonts w:cs="Times New Roman" w:hint="eastAsia"/>
                <w:b/>
                <w:bCs/>
                <w:szCs w:val="21"/>
              </w:rPr>
              <w:t>知识产权</w:t>
            </w:r>
          </w:p>
          <w:p w:rsidR="004C4732" w:rsidRDefault="004C4732" w:rsidP="00BB52E8">
            <w:pPr>
              <w:pStyle w:val="a3"/>
              <w:jc w:val="left"/>
              <w:rPr>
                <w:rFonts w:cs="Times New Roman"/>
                <w:szCs w:val="21"/>
              </w:rPr>
            </w:pPr>
            <w:r>
              <w:rPr>
                <w:rFonts w:cs="Times New Roman"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4C4732" w:rsidRDefault="004C4732" w:rsidP="00BB52E8">
            <w:pPr>
              <w:pStyle w:val="a3"/>
              <w:jc w:val="left"/>
              <w:rPr>
                <w:rFonts w:cs="Times New Roman"/>
                <w:szCs w:val="21"/>
              </w:rPr>
            </w:pPr>
            <w:r>
              <w:rPr>
                <w:rFonts w:cs="Times New Roman" w:hint="eastAsia"/>
                <w:szCs w:val="21"/>
              </w:rPr>
              <w:t>报价人因未经授权而实施的商业性复制行为构成违约或侵权责任造成采购人损失的，由其承担相关责任并赔偿采购人经济损失。</w:t>
            </w:r>
          </w:p>
          <w:p w:rsidR="004C4732" w:rsidRDefault="004C4732" w:rsidP="00BB52E8">
            <w:pPr>
              <w:widowControl/>
              <w:adjustRightInd w:val="0"/>
              <w:snapToGrid w:val="0"/>
              <w:spacing w:line="520" w:lineRule="exact"/>
              <w:jc w:val="left"/>
              <w:rPr>
                <w:rFonts w:ascii="Arial" w:eastAsia="宋体" w:hAnsi="Arial" w:cs="Arial"/>
                <w:b/>
                <w:bCs/>
                <w:kern w:val="0"/>
                <w:szCs w:val="21"/>
              </w:rPr>
            </w:pPr>
            <w:r>
              <w:rPr>
                <w:rFonts w:ascii="Arial" w:eastAsia="宋体" w:hAnsi="Arial" w:cs="Arial" w:hint="eastAsia"/>
                <w:b/>
                <w:bCs/>
                <w:kern w:val="0"/>
                <w:szCs w:val="21"/>
              </w:rPr>
              <w:t>4.</w:t>
            </w:r>
            <w:r>
              <w:rPr>
                <w:rFonts w:ascii="Arial" w:eastAsia="宋体" w:hAnsi="Arial" w:cs="Arial"/>
                <w:b/>
                <w:bCs/>
                <w:kern w:val="0"/>
                <w:szCs w:val="21"/>
              </w:rPr>
              <w:t>付款</w:t>
            </w:r>
            <w:r>
              <w:rPr>
                <w:rFonts w:ascii="Arial" w:eastAsia="宋体" w:hAnsi="Arial" w:cs="Arial" w:hint="eastAsia"/>
                <w:b/>
                <w:bCs/>
                <w:kern w:val="0"/>
                <w:szCs w:val="21"/>
              </w:rPr>
              <w:t>要求</w:t>
            </w:r>
          </w:p>
          <w:p w:rsidR="004C4732" w:rsidRDefault="004C4732" w:rsidP="00BB52E8">
            <w:pPr>
              <w:widowControl/>
              <w:adjustRightInd w:val="0"/>
              <w:snapToGrid w:val="0"/>
              <w:spacing w:line="520" w:lineRule="exact"/>
              <w:jc w:val="left"/>
              <w:rPr>
                <w:rFonts w:ascii="Arial" w:eastAsia="宋体" w:hAnsi="Arial" w:cs="Arial"/>
                <w:kern w:val="0"/>
                <w:szCs w:val="21"/>
              </w:rPr>
            </w:pPr>
            <w:r>
              <w:rPr>
                <w:rFonts w:ascii="Arial" w:eastAsia="宋体" w:hAnsi="Arial" w:cs="Arial"/>
                <w:kern w:val="0"/>
                <w:szCs w:val="21"/>
              </w:rPr>
              <w:t>本项目无预付款，合同中所有货物全部安装调试完毕验收合格交付给</w:t>
            </w:r>
            <w:r>
              <w:rPr>
                <w:rFonts w:ascii="Arial" w:eastAsia="宋体" w:hAnsi="Arial" w:cs="Arial" w:hint="eastAsia"/>
                <w:kern w:val="0"/>
                <w:szCs w:val="21"/>
              </w:rPr>
              <w:t>采购人</w:t>
            </w:r>
            <w:r>
              <w:rPr>
                <w:rFonts w:ascii="Arial" w:eastAsia="宋体" w:hAnsi="Arial" w:cs="Arial"/>
                <w:kern w:val="0"/>
                <w:szCs w:val="21"/>
              </w:rPr>
              <w:t>使用后，被选中的</w:t>
            </w:r>
            <w:r>
              <w:rPr>
                <w:rFonts w:ascii="Arial" w:eastAsia="宋体" w:hAnsi="Arial" w:cs="Arial" w:hint="eastAsia"/>
                <w:kern w:val="0"/>
                <w:szCs w:val="21"/>
              </w:rPr>
              <w:t>报价</w:t>
            </w:r>
            <w:r>
              <w:rPr>
                <w:rFonts w:ascii="Arial" w:eastAsia="宋体" w:hAnsi="Arial" w:cs="Arial"/>
                <w:kern w:val="0"/>
                <w:szCs w:val="21"/>
              </w:rPr>
              <w:t>人开具</w:t>
            </w:r>
            <w:r>
              <w:rPr>
                <w:rFonts w:ascii="Arial" w:eastAsia="宋体" w:hAnsi="Arial" w:cs="Arial" w:hint="eastAsia"/>
                <w:kern w:val="0"/>
                <w:szCs w:val="21"/>
              </w:rPr>
              <w:t>全额增值税专用发票</w:t>
            </w:r>
            <w:r>
              <w:rPr>
                <w:rFonts w:ascii="Arial" w:eastAsia="宋体" w:hAnsi="Arial" w:cs="Arial"/>
                <w:kern w:val="0"/>
                <w:szCs w:val="21"/>
              </w:rPr>
              <w:t>给</w:t>
            </w:r>
            <w:r>
              <w:rPr>
                <w:rFonts w:ascii="Arial" w:eastAsia="宋体" w:hAnsi="Arial" w:cs="Arial" w:hint="eastAsia"/>
                <w:kern w:val="0"/>
                <w:szCs w:val="21"/>
              </w:rPr>
              <w:t>采购人</w:t>
            </w:r>
            <w:r>
              <w:rPr>
                <w:rFonts w:ascii="Arial" w:eastAsia="宋体" w:hAnsi="Arial" w:cs="Arial"/>
                <w:kern w:val="0"/>
                <w:szCs w:val="21"/>
              </w:rPr>
              <w:t>，</w:t>
            </w:r>
            <w:r>
              <w:rPr>
                <w:rFonts w:ascii="Arial" w:eastAsia="宋体" w:hAnsi="Arial" w:cs="Arial" w:hint="eastAsia"/>
                <w:kern w:val="0"/>
                <w:szCs w:val="21"/>
              </w:rPr>
              <w:t>采购人</w:t>
            </w:r>
            <w:r>
              <w:rPr>
                <w:rFonts w:ascii="Arial" w:eastAsia="宋体" w:hAnsi="Arial" w:cs="Arial"/>
                <w:kern w:val="0"/>
                <w:szCs w:val="21"/>
              </w:rPr>
              <w:t>收到发票后</w:t>
            </w:r>
            <w:r>
              <w:rPr>
                <w:rFonts w:ascii="Arial" w:eastAsia="宋体" w:hAnsi="Arial" w:cs="Arial" w:hint="eastAsia"/>
                <w:b/>
                <w:kern w:val="0"/>
                <w:szCs w:val="21"/>
                <w:u w:val="single"/>
              </w:rPr>
              <w:t>20</w:t>
            </w:r>
            <w:r>
              <w:rPr>
                <w:rFonts w:ascii="Arial" w:eastAsia="宋体" w:hAnsi="Arial" w:cs="Arial" w:hint="eastAsia"/>
                <w:kern w:val="0"/>
                <w:szCs w:val="21"/>
              </w:rPr>
              <w:t>个工作日</w:t>
            </w:r>
            <w:r>
              <w:rPr>
                <w:rFonts w:ascii="Arial" w:eastAsia="宋体" w:hAnsi="Arial" w:cs="Arial"/>
                <w:kern w:val="0"/>
                <w:szCs w:val="21"/>
              </w:rPr>
              <w:t>内</w:t>
            </w:r>
            <w:r>
              <w:rPr>
                <w:rFonts w:ascii="Arial" w:eastAsia="宋体" w:hAnsi="Arial" w:cs="Arial" w:hint="eastAsia"/>
                <w:kern w:val="0"/>
                <w:szCs w:val="21"/>
              </w:rPr>
              <w:t>办理</w:t>
            </w:r>
            <w:r>
              <w:rPr>
                <w:rFonts w:ascii="Arial" w:eastAsia="宋体" w:hAnsi="Arial" w:cs="Arial"/>
                <w:kern w:val="0"/>
                <w:szCs w:val="21"/>
              </w:rPr>
              <w:t>支付手续</w:t>
            </w:r>
            <w:r>
              <w:rPr>
                <w:rFonts w:asciiTheme="majorEastAsia" w:eastAsiaTheme="majorEastAsia" w:hAnsiTheme="majorEastAsia" w:cs="Arial"/>
                <w:kern w:val="0"/>
                <w:szCs w:val="21"/>
              </w:rPr>
              <w:t>。</w:t>
            </w:r>
            <w:r>
              <w:rPr>
                <w:rFonts w:asciiTheme="majorEastAsia" w:eastAsiaTheme="majorEastAsia" w:hAnsiTheme="majorEastAsia" w:cs="Arial" w:hint="eastAsia"/>
                <w:kern w:val="0"/>
                <w:szCs w:val="21"/>
              </w:rPr>
              <w:t>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4C4732" w:rsidRDefault="004C4732" w:rsidP="00BB52E8">
            <w:pPr>
              <w:widowControl/>
              <w:adjustRightInd w:val="0"/>
              <w:snapToGrid w:val="0"/>
              <w:spacing w:line="520" w:lineRule="exact"/>
              <w:jc w:val="left"/>
              <w:rPr>
                <w:rFonts w:ascii="Arial" w:eastAsia="宋体" w:hAnsi="Arial" w:cs="Arial"/>
                <w:b/>
                <w:bCs/>
                <w:kern w:val="0"/>
                <w:szCs w:val="21"/>
              </w:rPr>
            </w:pPr>
            <w:r>
              <w:rPr>
                <w:rFonts w:ascii="Arial" w:eastAsia="宋体" w:hAnsi="Arial" w:cs="Arial" w:hint="eastAsia"/>
                <w:b/>
                <w:bCs/>
                <w:kern w:val="0"/>
                <w:szCs w:val="21"/>
              </w:rPr>
              <w:t>5.</w:t>
            </w:r>
            <w:r>
              <w:rPr>
                <w:rFonts w:ascii="Arial" w:eastAsia="宋体" w:hAnsi="Arial" w:cs="Arial" w:hint="eastAsia"/>
                <w:b/>
                <w:bCs/>
                <w:kern w:val="0"/>
                <w:szCs w:val="21"/>
              </w:rPr>
              <w:t>履约保证金</w:t>
            </w:r>
          </w:p>
          <w:p w:rsidR="004C4732" w:rsidRDefault="004C4732" w:rsidP="00BB52E8">
            <w:pPr>
              <w:widowControl/>
              <w:adjustRightInd w:val="0"/>
              <w:snapToGrid w:val="0"/>
              <w:spacing w:line="520" w:lineRule="exact"/>
              <w:jc w:val="left"/>
              <w:rPr>
                <w:rFonts w:ascii="Arial" w:eastAsia="宋体" w:hAnsi="Arial" w:cs="Arial"/>
                <w:kern w:val="0"/>
                <w:szCs w:val="21"/>
              </w:rPr>
            </w:pPr>
            <w:r>
              <w:rPr>
                <w:rFonts w:ascii="Arial" w:eastAsia="宋体" w:hAnsi="Arial" w:cs="Arial" w:hint="eastAsia"/>
                <w:kern w:val="0"/>
                <w:szCs w:val="21"/>
              </w:rPr>
              <w:t>合同签订前</w:t>
            </w:r>
            <w:r>
              <w:rPr>
                <w:rFonts w:ascii="Arial" w:eastAsia="宋体" w:hAnsi="Arial" w:cs="Arial" w:hint="eastAsia"/>
                <w:kern w:val="0"/>
                <w:szCs w:val="21"/>
              </w:rPr>
              <w:t>2</w:t>
            </w:r>
            <w:r>
              <w:rPr>
                <w:rFonts w:ascii="Arial" w:eastAsia="宋体" w:hAnsi="Arial" w:cs="Arial" w:hint="eastAsia"/>
                <w:kern w:val="0"/>
                <w:szCs w:val="21"/>
              </w:rPr>
              <w:t>日内，以银行转账、支票、汇票、本票或者银行、保险机构出具的保函、保险</w:t>
            </w:r>
            <w:r>
              <w:rPr>
                <w:rFonts w:ascii="Arial" w:eastAsia="宋体" w:hAnsi="Arial" w:cs="Arial" w:hint="eastAsia"/>
                <w:kern w:val="0"/>
                <w:szCs w:val="21"/>
              </w:rPr>
              <w:lastRenderedPageBreak/>
              <w:t>等非现金方式提交履约保证金。履约保证金金额按本项目合同金额的</w:t>
            </w:r>
            <w:r>
              <w:rPr>
                <w:rFonts w:ascii="Arial" w:eastAsia="宋体" w:hAnsi="Arial" w:cs="Arial" w:hint="eastAsia"/>
                <w:kern w:val="0"/>
                <w:szCs w:val="21"/>
              </w:rPr>
              <w:t>5%</w:t>
            </w:r>
            <w:r>
              <w:rPr>
                <w:rFonts w:ascii="Arial" w:eastAsia="宋体" w:hAnsi="Arial" w:cs="Arial" w:hint="eastAsia"/>
                <w:kern w:val="0"/>
                <w:szCs w:val="21"/>
              </w:rPr>
              <w:t>收取，履约保证金</w:t>
            </w:r>
            <w:proofErr w:type="gramStart"/>
            <w:r>
              <w:rPr>
                <w:rFonts w:ascii="Arial" w:eastAsia="宋体" w:hAnsi="Arial" w:cs="Arial" w:hint="eastAsia"/>
                <w:kern w:val="0"/>
                <w:szCs w:val="21"/>
              </w:rPr>
              <w:t>不</w:t>
            </w:r>
            <w:proofErr w:type="gramEnd"/>
            <w:r>
              <w:rPr>
                <w:rFonts w:ascii="Arial" w:eastAsia="宋体" w:hAnsi="Arial" w:cs="Arial" w:hint="eastAsia"/>
                <w:kern w:val="0"/>
                <w:szCs w:val="21"/>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Cs w:val="21"/>
              </w:rPr>
              <w:t>至履行完合同</w:t>
            </w:r>
            <w:proofErr w:type="gramEnd"/>
            <w:r>
              <w:rPr>
                <w:rFonts w:ascii="Arial" w:eastAsia="宋体" w:hAnsi="Arial" w:cs="Arial" w:hint="eastAsia"/>
                <w:kern w:val="0"/>
                <w:szCs w:val="21"/>
              </w:rPr>
              <w:t>约定的权利及义务之日止）的，不予签订合同。如报价人未能按合同约定履行合同，采购人有权没收全部履约保证金，并按合同相关条款追究其责任。采购人在验收合格交付使用之日起</w:t>
            </w:r>
            <w:r>
              <w:rPr>
                <w:rFonts w:ascii="Arial" w:eastAsia="宋体" w:hAnsi="Arial" w:cs="Arial" w:hint="eastAsia"/>
                <w:kern w:val="0"/>
                <w:szCs w:val="21"/>
              </w:rPr>
              <w:t>30</w:t>
            </w:r>
            <w:r>
              <w:rPr>
                <w:rFonts w:ascii="Arial" w:eastAsia="宋体" w:hAnsi="Arial" w:cs="Arial" w:hint="eastAsia"/>
                <w:kern w:val="0"/>
                <w:szCs w:val="21"/>
              </w:rPr>
              <w:t>日内退还履约保证金（不计息）。</w:t>
            </w:r>
          </w:p>
          <w:p w:rsidR="004C4732" w:rsidRDefault="004C4732" w:rsidP="00BB52E8">
            <w:pPr>
              <w:widowControl/>
              <w:spacing w:line="480" w:lineRule="auto"/>
              <w:jc w:val="left"/>
              <w:rPr>
                <w:rFonts w:ascii="Arial" w:eastAsia="宋体" w:hAnsi="Arial" w:cs="Arial"/>
                <w:bCs/>
                <w:kern w:val="0"/>
                <w:szCs w:val="21"/>
              </w:rPr>
            </w:pPr>
            <w:r>
              <w:rPr>
                <w:rFonts w:ascii="Arial" w:eastAsia="宋体" w:hAnsi="Arial" w:cs="Arial" w:hint="eastAsia"/>
                <w:bCs/>
                <w:kern w:val="0"/>
                <w:szCs w:val="21"/>
              </w:rPr>
              <w:t>履约保证金账户：</w:t>
            </w:r>
          </w:p>
          <w:p w:rsidR="004C4732" w:rsidRDefault="004C4732" w:rsidP="00BB52E8">
            <w:pPr>
              <w:pStyle w:val="a3"/>
              <w:spacing w:line="360" w:lineRule="auto"/>
              <w:jc w:val="left"/>
              <w:rPr>
                <w:rFonts w:ascii="Arial" w:eastAsia="宋体" w:hAnsi="Arial" w:cs="Arial"/>
                <w:bCs/>
                <w:kern w:val="0"/>
                <w:szCs w:val="21"/>
              </w:rPr>
            </w:pPr>
            <w:r>
              <w:rPr>
                <w:rFonts w:ascii="Arial" w:eastAsia="宋体" w:hAnsi="Arial" w:cs="Arial" w:hint="eastAsia"/>
                <w:bCs/>
                <w:kern w:val="0"/>
                <w:szCs w:val="21"/>
              </w:rPr>
              <w:t>名</w:t>
            </w:r>
            <w:r>
              <w:rPr>
                <w:rFonts w:ascii="Arial" w:eastAsia="宋体" w:hAnsi="Arial" w:cs="Arial" w:hint="eastAsia"/>
                <w:bCs/>
                <w:kern w:val="0"/>
                <w:szCs w:val="21"/>
              </w:rPr>
              <w:t xml:space="preserve">  </w:t>
            </w:r>
            <w:r>
              <w:rPr>
                <w:rFonts w:ascii="Arial" w:eastAsia="宋体" w:hAnsi="Arial" w:cs="Arial" w:hint="eastAsia"/>
                <w:bCs/>
                <w:kern w:val="0"/>
                <w:szCs w:val="21"/>
              </w:rPr>
              <w:t>称：柳州职业技术大学</w:t>
            </w:r>
          </w:p>
          <w:p w:rsidR="004C4732" w:rsidRDefault="004C4732" w:rsidP="00BB52E8">
            <w:pPr>
              <w:pStyle w:val="a3"/>
              <w:spacing w:line="360" w:lineRule="auto"/>
              <w:jc w:val="left"/>
              <w:rPr>
                <w:rFonts w:ascii="Arial" w:eastAsia="宋体" w:hAnsi="Arial" w:cs="Arial"/>
                <w:bCs/>
                <w:kern w:val="0"/>
                <w:szCs w:val="21"/>
              </w:rPr>
            </w:pPr>
            <w:r>
              <w:rPr>
                <w:rFonts w:ascii="Arial" w:eastAsia="宋体" w:hAnsi="Arial" w:cs="Arial" w:hint="eastAsia"/>
                <w:bCs/>
                <w:kern w:val="0"/>
                <w:szCs w:val="21"/>
              </w:rPr>
              <w:t>开户行：交通银行西江支行</w:t>
            </w:r>
          </w:p>
          <w:p w:rsidR="004C4732" w:rsidRDefault="004C4732" w:rsidP="00BB52E8">
            <w:pPr>
              <w:pStyle w:val="a3"/>
              <w:spacing w:line="360" w:lineRule="auto"/>
              <w:jc w:val="left"/>
              <w:rPr>
                <w:rFonts w:ascii="Arial" w:eastAsia="宋体" w:hAnsi="Arial" w:cs="Arial"/>
                <w:bCs/>
                <w:kern w:val="0"/>
                <w:szCs w:val="21"/>
              </w:rPr>
            </w:pPr>
            <w:proofErr w:type="gramStart"/>
            <w:r>
              <w:rPr>
                <w:rFonts w:ascii="Arial" w:eastAsia="宋体" w:hAnsi="Arial" w:cs="Arial" w:hint="eastAsia"/>
                <w:bCs/>
                <w:kern w:val="0"/>
                <w:szCs w:val="21"/>
              </w:rPr>
              <w:t>账</w:t>
            </w:r>
            <w:proofErr w:type="gramEnd"/>
            <w:r>
              <w:rPr>
                <w:rFonts w:ascii="Arial" w:eastAsia="宋体" w:hAnsi="Arial" w:cs="Arial" w:hint="eastAsia"/>
                <w:bCs/>
                <w:kern w:val="0"/>
                <w:szCs w:val="21"/>
              </w:rPr>
              <w:t xml:space="preserve">  </w:t>
            </w:r>
            <w:r>
              <w:rPr>
                <w:rFonts w:ascii="Arial" w:eastAsia="宋体" w:hAnsi="Arial" w:cs="Arial" w:hint="eastAsia"/>
                <w:bCs/>
                <w:kern w:val="0"/>
                <w:szCs w:val="21"/>
              </w:rPr>
              <w:t>号：</w:t>
            </w:r>
            <w:r>
              <w:rPr>
                <w:rFonts w:ascii="Arial" w:eastAsia="宋体" w:hAnsi="Arial" w:cs="Arial"/>
                <w:bCs/>
                <w:kern w:val="0"/>
                <w:szCs w:val="21"/>
              </w:rPr>
              <w:t>452060600018120020185</w:t>
            </w:r>
          </w:p>
          <w:p w:rsidR="004C4732" w:rsidRDefault="004C4732" w:rsidP="00BB52E8">
            <w:pPr>
              <w:pStyle w:val="a3"/>
              <w:spacing w:line="360" w:lineRule="auto"/>
              <w:jc w:val="left"/>
              <w:rPr>
                <w:rFonts w:cs="Times New Roman"/>
                <w:szCs w:val="21"/>
              </w:rPr>
            </w:pPr>
            <w:r>
              <w:rPr>
                <w:rFonts w:ascii="Arial" w:eastAsia="宋体" w:hAnsi="Arial" w:cs="Arial" w:hint="eastAsia"/>
                <w:bCs/>
                <w:kern w:val="0"/>
                <w:szCs w:val="21"/>
              </w:rPr>
              <w:t>转账时注明：</w:t>
            </w:r>
            <w:r>
              <w:rPr>
                <w:rFonts w:ascii="Arial" w:hAnsi="Arial" w:cs="Arial" w:hint="eastAsia"/>
                <w:bCs/>
                <w:kern w:val="0"/>
                <w:lang w:bidi="en-US"/>
              </w:rPr>
              <w:t>高集成电子电路板焊接检测维修模块采购</w:t>
            </w:r>
            <w:r>
              <w:rPr>
                <w:rFonts w:ascii="Arial" w:eastAsia="宋体" w:hAnsi="Arial" w:cs="Arial" w:hint="eastAsia"/>
                <w:bCs/>
                <w:kern w:val="0"/>
                <w:szCs w:val="21"/>
              </w:rPr>
              <w:t>项目，采购编号</w:t>
            </w:r>
            <w:r>
              <w:rPr>
                <w:rFonts w:ascii="Arial" w:eastAsia="宋体" w:hAnsi="Arial" w:cs="Arial" w:hint="eastAsia"/>
                <w:b/>
                <w:kern w:val="0"/>
                <w:szCs w:val="21"/>
              </w:rPr>
              <w:t>LZPU2026-8</w:t>
            </w:r>
            <w:r>
              <w:rPr>
                <w:rFonts w:ascii="Arial" w:eastAsia="宋体" w:hAnsi="Arial" w:cs="Arial" w:hint="eastAsia"/>
                <w:bCs/>
                <w:kern w:val="0"/>
                <w:szCs w:val="21"/>
              </w:rPr>
              <w:t>履约保证金</w:t>
            </w:r>
            <w:r>
              <w:rPr>
                <w:rFonts w:ascii="Arial" w:eastAsia="宋体" w:hAnsi="Arial" w:cs="Arial" w:hint="eastAsia"/>
                <w:kern w:val="0"/>
                <w:szCs w:val="21"/>
              </w:rPr>
              <w:t>电汇、转账的持银行回执复印件（非电汇、转账的出具其他保证金递交证明文件）、中标（成交）通知书（确认书）及合同到柳州职业技术大学签署合同。</w:t>
            </w:r>
          </w:p>
          <w:p w:rsidR="004C4732" w:rsidRDefault="004C4732" w:rsidP="00BB52E8">
            <w:pPr>
              <w:pStyle w:val="a3"/>
              <w:jc w:val="left"/>
              <w:rPr>
                <w:rFonts w:cs="Times New Roman"/>
                <w:b/>
                <w:bCs/>
                <w:szCs w:val="21"/>
              </w:rPr>
            </w:pPr>
            <w:r>
              <w:rPr>
                <w:rFonts w:cs="Times New Roman" w:hint="eastAsia"/>
                <w:b/>
                <w:bCs/>
                <w:szCs w:val="21"/>
              </w:rPr>
              <w:t>6.</w:t>
            </w:r>
            <w:r>
              <w:rPr>
                <w:rFonts w:cs="Times New Roman" w:hint="eastAsia"/>
                <w:b/>
                <w:bCs/>
                <w:szCs w:val="21"/>
              </w:rPr>
              <w:t>验收要求</w:t>
            </w:r>
          </w:p>
          <w:p w:rsidR="004C4732" w:rsidRDefault="004C4732" w:rsidP="00BB52E8">
            <w:pPr>
              <w:pStyle w:val="a3"/>
              <w:jc w:val="left"/>
              <w:rPr>
                <w:rFonts w:cs="Times New Roman"/>
                <w:szCs w:val="21"/>
              </w:rPr>
            </w:pPr>
            <w:r>
              <w:rPr>
                <w:rFonts w:cs="Times New Roman" w:hint="eastAsia"/>
                <w:szCs w:val="21"/>
              </w:rPr>
              <w:t>（</w:t>
            </w:r>
            <w:r>
              <w:rPr>
                <w:rFonts w:cs="Times New Roman" w:hint="eastAsia"/>
                <w:szCs w:val="21"/>
              </w:rPr>
              <w:t>1</w:t>
            </w:r>
            <w:r>
              <w:rPr>
                <w:rFonts w:cs="Times New Roman" w:hint="eastAsia"/>
                <w:szCs w:val="21"/>
              </w:rPr>
              <w:t>）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4C4732" w:rsidRDefault="004C4732" w:rsidP="00BB52E8">
            <w:pPr>
              <w:pStyle w:val="a3"/>
              <w:jc w:val="left"/>
              <w:rPr>
                <w:rFonts w:cs="Times New Roman"/>
                <w:szCs w:val="21"/>
              </w:rPr>
            </w:pPr>
            <w:r>
              <w:rPr>
                <w:rFonts w:cs="Times New Roman" w:hint="eastAsia"/>
                <w:szCs w:val="21"/>
              </w:rPr>
              <w:t>（</w:t>
            </w:r>
            <w:r>
              <w:rPr>
                <w:rFonts w:cs="Times New Roman" w:hint="eastAsia"/>
                <w:szCs w:val="21"/>
              </w:rPr>
              <w:t>2</w:t>
            </w:r>
            <w:r>
              <w:rPr>
                <w:rFonts w:cs="Times New Roman" w:hint="eastAsia"/>
                <w:szCs w:val="21"/>
              </w:rPr>
              <w:t>）中标供应商须确保货物为原制造商制造（或原厂组装）的全新产品，无侵权行为、表面无划损、无任何缺陷隐患，在中国境内可依常规安全合法使用。</w:t>
            </w:r>
          </w:p>
          <w:p w:rsidR="004C4732" w:rsidRDefault="004C4732" w:rsidP="00BB52E8">
            <w:pPr>
              <w:pStyle w:val="a3"/>
              <w:jc w:val="left"/>
              <w:rPr>
                <w:rFonts w:cs="Times New Roman"/>
                <w:szCs w:val="21"/>
              </w:rPr>
            </w:pPr>
            <w:r>
              <w:rPr>
                <w:rFonts w:cs="Times New Roman" w:hint="eastAsia"/>
                <w:szCs w:val="21"/>
              </w:rPr>
              <w:t>（</w:t>
            </w:r>
            <w:r>
              <w:rPr>
                <w:rFonts w:cs="Times New Roman" w:hint="eastAsia"/>
                <w:szCs w:val="21"/>
              </w:rPr>
              <w:t>3</w:t>
            </w:r>
            <w:r>
              <w:rPr>
                <w:rFonts w:cs="Times New Roman" w:hint="eastAsia"/>
                <w:szCs w:val="21"/>
              </w:rPr>
              <w:t>）供货时中标供应商应将关键货物的用户手册、保修手册、有关单证资料及配备件等交付给采购人，使用操作及安全须知等重要资料应附有中文说明。</w:t>
            </w:r>
          </w:p>
          <w:p w:rsidR="004C4732" w:rsidRDefault="004C4732" w:rsidP="00BB52E8">
            <w:pPr>
              <w:pStyle w:val="a3"/>
              <w:jc w:val="left"/>
              <w:rPr>
                <w:rFonts w:cs="Times New Roman"/>
                <w:szCs w:val="21"/>
              </w:rPr>
            </w:pPr>
            <w:r>
              <w:rPr>
                <w:rFonts w:cs="Times New Roman" w:hint="eastAsia"/>
                <w:szCs w:val="21"/>
              </w:rPr>
              <w:t>（</w:t>
            </w:r>
            <w:r>
              <w:rPr>
                <w:rFonts w:cs="Times New Roman" w:hint="eastAsia"/>
                <w:szCs w:val="21"/>
              </w:rPr>
              <w:t>4</w:t>
            </w:r>
            <w:r>
              <w:rPr>
                <w:rFonts w:cs="Times New Roman" w:hint="eastAsia"/>
                <w:szCs w:val="21"/>
              </w:rPr>
              <w:t>）</w:t>
            </w:r>
            <w:r>
              <w:rPr>
                <w:rFonts w:ascii="Calibri" w:hAnsi="Calibri" w:cs="Calibri"/>
                <w:szCs w:val="21"/>
              </w:rPr>
              <w:t>①</w:t>
            </w:r>
            <w:r>
              <w:rPr>
                <w:rFonts w:hint="eastAsia"/>
              </w:rPr>
              <w:t>货物到货后，</w:t>
            </w:r>
            <w:r>
              <w:rPr>
                <w:rFonts w:cs="Times New Roman" w:hint="eastAsia"/>
                <w:szCs w:val="21"/>
              </w:rPr>
              <w:t>采购人组成验收小组按国家有关规定、规范对各模块进行初步验收，如中标供应商在报价文件中有承诺正偏离的应按其正偏离内容执行（包括参数功能、培训、售后服务及服务年限）。若产品在运输过程中损坏或擦伤须无偿调换相同产品；</w:t>
            </w:r>
            <w:r>
              <w:rPr>
                <w:rFonts w:ascii="Calibri" w:hAnsi="Calibri" w:cs="Calibri"/>
                <w:szCs w:val="21"/>
              </w:rPr>
              <w:t>②</w:t>
            </w:r>
            <w:r>
              <w:rPr>
                <w:rFonts w:cs="Times New Roman" w:hint="eastAsia"/>
                <w:szCs w:val="21"/>
              </w:rPr>
              <w:t>初步验收通过后</w:t>
            </w:r>
            <w:r>
              <w:rPr>
                <w:rFonts w:hint="eastAsia"/>
              </w:rPr>
              <w:t>在中标供货商的技术人员指导下进行焊接组装，确保焊接规范使用可靠，焊接完成后整套成品进行累计运行时间不超过</w:t>
            </w:r>
            <w:r>
              <w:rPr>
                <w:rFonts w:hint="eastAsia"/>
              </w:rPr>
              <w:t>72</w:t>
            </w:r>
            <w:r>
              <w:rPr>
                <w:rFonts w:hint="eastAsia"/>
              </w:rPr>
              <w:t>小时的试运行，以确认所供货物（含硬件、软件及服务）功能参数、兼容性及</w:t>
            </w:r>
            <w:r>
              <w:rPr>
                <w:rFonts w:hint="eastAsia"/>
              </w:rPr>
              <w:t xml:space="preserve"> </w:t>
            </w:r>
            <w:r>
              <w:rPr>
                <w:rFonts w:hint="eastAsia"/>
              </w:rPr>
              <w:t>稳定性符合标准达到正式验收条件，在试运行期间出现问题供应商应在接到采购人书面反馈后三日内解决，在解决问题前此项目仍视为尚未完成安装调试。如造成正式</w:t>
            </w:r>
            <w:proofErr w:type="gramStart"/>
            <w:r>
              <w:rPr>
                <w:rFonts w:hint="eastAsia"/>
              </w:rPr>
              <w:t>验收验收</w:t>
            </w:r>
            <w:proofErr w:type="gramEnd"/>
            <w:r>
              <w:rPr>
                <w:rFonts w:hint="eastAsia"/>
              </w:rPr>
              <w:t>合格交付时间超过合同约定的按合同相关条款执行。</w:t>
            </w:r>
            <w:r>
              <w:rPr>
                <w:rFonts w:ascii="Calibri" w:hAnsi="Calibri" w:cs="Calibri"/>
              </w:rPr>
              <w:t>③</w:t>
            </w:r>
            <w:r>
              <w:rPr>
                <w:rFonts w:cs="Times New Roman" w:hint="eastAsia"/>
                <w:szCs w:val="21"/>
              </w:rPr>
              <w:t>必要时邀请相关的专业人员或机构参与验收，验收</w:t>
            </w:r>
            <w:proofErr w:type="gramStart"/>
            <w:r>
              <w:rPr>
                <w:rFonts w:cs="Times New Roman" w:hint="eastAsia"/>
                <w:szCs w:val="21"/>
              </w:rPr>
              <w:t>时供应</w:t>
            </w:r>
            <w:proofErr w:type="gramEnd"/>
            <w:r>
              <w:rPr>
                <w:rFonts w:cs="Times New Roman" w:hint="eastAsia"/>
                <w:szCs w:val="21"/>
              </w:rPr>
              <w:t>商必须有授权代表在场并在验收报告上签字，如正式验收</w:t>
            </w:r>
            <w:proofErr w:type="gramStart"/>
            <w:r>
              <w:rPr>
                <w:rFonts w:cs="Times New Roman" w:hint="eastAsia"/>
                <w:szCs w:val="21"/>
              </w:rPr>
              <w:t>时供应</w:t>
            </w:r>
            <w:proofErr w:type="gramEnd"/>
            <w:r>
              <w:rPr>
                <w:rFonts w:cs="Times New Roman" w:hint="eastAsia"/>
                <w:szCs w:val="21"/>
              </w:rPr>
              <w:t>商授权代表未到场参加验收则视为供应商对验收过程及结果无异议。因货物质量问题发生争议时，由本地质量技术监督部门鉴定或委托具备资质的第三方机构鉴定。鉴定</w:t>
            </w:r>
            <w:r>
              <w:rPr>
                <w:rFonts w:cs="Times New Roman" w:hint="eastAsia"/>
                <w:szCs w:val="21"/>
              </w:rPr>
              <w:lastRenderedPageBreak/>
              <w:t>费（</w:t>
            </w:r>
            <w:proofErr w:type="gramStart"/>
            <w:r>
              <w:rPr>
                <w:rFonts w:cs="Times New Roman" w:hint="eastAsia"/>
                <w:szCs w:val="21"/>
              </w:rPr>
              <w:t>含运行</w:t>
            </w:r>
            <w:proofErr w:type="gramEnd"/>
            <w:r>
              <w:rPr>
                <w:rFonts w:cs="Times New Roman" w:hint="eastAsia"/>
                <w:szCs w:val="21"/>
              </w:rPr>
              <w:t>产生全部费用）由中标供应商承担。</w:t>
            </w:r>
          </w:p>
          <w:p w:rsidR="004C4732" w:rsidRDefault="004C4732" w:rsidP="00BB52E8">
            <w:pPr>
              <w:pStyle w:val="a3"/>
              <w:jc w:val="left"/>
              <w:rPr>
                <w:rFonts w:cs="Times New Roman"/>
                <w:szCs w:val="21"/>
              </w:rPr>
            </w:pPr>
            <w:r>
              <w:rPr>
                <w:rFonts w:cs="Times New Roman" w:hint="eastAsia"/>
                <w:szCs w:val="21"/>
              </w:rPr>
              <w:t>（</w:t>
            </w:r>
            <w:r>
              <w:rPr>
                <w:rFonts w:cs="Times New Roman" w:hint="eastAsia"/>
                <w:szCs w:val="21"/>
              </w:rPr>
              <w:t>5</w:t>
            </w:r>
            <w:r>
              <w:rPr>
                <w:rFonts w:cs="Times New Roman" w:hint="eastAsia"/>
                <w:szCs w:val="21"/>
              </w:rPr>
              <w:t>）</w:t>
            </w:r>
            <w:r>
              <w:rPr>
                <w:rFonts w:hint="eastAsia"/>
              </w:rPr>
              <w:t>方可进行验收，若无法满足要求采购人可以终止项目，中标供应商须承担相应违约责任。</w:t>
            </w:r>
            <w:r>
              <w:rPr>
                <w:rFonts w:cs="Times New Roman" w:hint="eastAsia"/>
                <w:szCs w:val="21"/>
              </w:rPr>
              <w:t>报价人在报价时自行考虑。中标供应商必须依照采购文件的要求和应标文件的承诺，将设备、系统安装并调试至正常运行的最佳状态，并完成采购人的人员培训方可申请采购人正式验收。</w:t>
            </w:r>
          </w:p>
          <w:p w:rsidR="004C4732" w:rsidRDefault="004C4732" w:rsidP="00BB52E8">
            <w:pPr>
              <w:pStyle w:val="a3"/>
              <w:jc w:val="left"/>
              <w:rPr>
                <w:rFonts w:cs="Times New Roman"/>
                <w:szCs w:val="21"/>
              </w:rPr>
            </w:pPr>
            <w:r>
              <w:rPr>
                <w:rFonts w:cs="Times New Roman" w:hint="eastAsia"/>
                <w:szCs w:val="21"/>
              </w:rPr>
              <w:t>（</w:t>
            </w:r>
            <w:r>
              <w:rPr>
                <w:rFonts w:cs="Times New Roman" w:hint="eastAsia"/>
                <w:szCs w:val="21"/>
              </w:rPr>
              <w:t>6</w:t>
            </w:r>
            <w:r>
              <w:rPr>
                <w:rFonts w:cs="Times New Roman" w:hint="eastAsia"/>
                <w:szCs w:val="21"/>
              </w:rPr>
              <w:t>）采购人有权委托第三方进行履约验收，履约验收费用（</w:t>
            </w:r>
            <w:proofErr w:type="gramStart"/>
            <w:r>
              <w:rPr>
                <w:rFonts w:cs="Times New Roman" w:hint="eastAsia"/>
                <w:szCs w:val="21"/>
              </w:rPr>
              <w:t>含运行</w:t>
            </w:r>
            <w:proofErr w:type="gramEnd"/>
            <w:r>
              <w:rPr>
                <w:rFonts w:cs="Times New Roman" w:hint="eastAsia"/>
                <w:szCs w:val="21"/>
              </w:rPr>
              <w:t>耗材、验收专家费等全部费用）由中标供应商支付。</w:t>
            </w:r>
          </w:p>
          <w:p w:rsidR="004C4732" w:rsidRDefault="004C4732" w:rsidP="00BB52E8">
            <w:pPr>
              <w:widowControl/>
              <w:jc w:val="left"/>
              <w:rPr>
                <w:rFonts w:cs="Times New Roman"/>
                <w:szCs w:val="21"/>
              </w:rPr>
            </w:pPr>
            <w:r>
              <w:rPr>
                <w:rFonts w:cs="Times New Roman" w:hint="eastAsia"/>
                <w:szCs w:val="21"/>
              </w:rPr>
              <w:t>（</w:t>
            </w:r>
            <w:r>
              <w:rPr>
                <w:rFonts w:cs="Times New Roman" w:hint="eastAsia"/>
                <w:szCs w:val="21"/>
              </w:rPr>
              <w:t>7</w:t>
            </w:r>
            <w:r>
              <w:rPr>
                <w:rFonts w:cs="Times New Roman" w:hint="eastAsia"/>
                <w:szCs w:val="21"/>
              </w:rPr>
              <w:t>）如果验收时中标供应商所提供设备达不到采购项目的技术需求，在整改期限</w:t>
            </w:r>
            <w:r>
              <w:rPr>
                <w:rFonts w:cs="Times New Roman" w:hint="eastAsia"/>
                <w:szCs w:val="21"/>
              </w:rPr>
              <w:t>20</w:t>
            </w:r>
            <w:r>
              <w:rPr>
                <w:rFonts w:cs="Times New Roman" w:hint="eastAsia"/>
                <w:szCs w:val="21"/>
              </w:rPr>
              <w:t>日内中标供应商仍无法提供满足项目技术要求的设备，采购人可以终止项目，中标供应商须承担相应违约责任。</w:t>
            </w:r>
          </w:p>
        </w:tc>
      </w:tr>
    </w:tbl>
    <w:p w:rsidR="006D39D7" w:rsidRPr="004C4732" w:rsidRDefault="006D39D7" w:rsidP="004C4732"/>
    <w:sectPr w:rsidR="006D39D7" w:rsidRPr="004C4732"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5A2177"/>
    <w:multiLevelType w:val="singleLevel"/>
    <w:tmpl w:val="935A2177"/>
    <w:lvl w:ilvl="0">
      <w:start w:val="1"/>
      <w:numFmt w:val="decimal"/>
      <w:suff w:val="nothing"/>
      <w:lvlText w:val="%1、"/>
      <w:lvlJc w:val="left"/>
    </w:lvl>
  </w:abstractNum>
  <w:abstractNum w:abstractNumId="1">
    <w:nsid w:val="CFEEE56D"/>
    <w:multiLevelType w:val="singleLevel"/>
    <w:tmpl w:val="CFEEE56D"/>
    <w:lvl w:ilvl="0">
      <w:start w:val="1"/>
      <w:numFmt w:val="decimal"/>
      <w:suff w:val="space"/>
      <w:lvlText w:val="%1."/>
      <w:lvlJc w:val="left"/>
    </w:lvl>
  </w:abstractNum>
  <w:abstractNum w:abstractNumId="2">
    <w:nsid w:val="E541F3A1"/>
    <w:multiLevelType w:val="singleLevel"/>
    <w:tmpl w:val="E541F3A1"/>
    <w:lvl w:ilvl="0">
      <w:start w:val="1"/>
      <w:numFmt w:val="decimal"/>
      <w:suff w:val="nothing"/>
      <w:lvlText w:val="%1、"/>
      <w:lvlJc w:val="left"/>
    </w:lvl>
  </w:abstractNum>
  <w:abstractNum w:abstractNumId="3">
    <w:nsid w:val="F16B4722"/>
    <w:multiLevelType w:val="singleLevel"/>
    <w:tmpl w:val="F16B4722"/>
    <w:lvl w:ilvl="0">
      <w:start w:val="1"/>
      <w:numFmt w:val="decimal"/>
      <w:suff w:val="space"/>
      <w:lvlText w:val="%1."/>
      <w:lvlJc w:val="left"/>
    </w:lvl>
  </w:abstractNum>
  <w:abstractNum w:abstractNumId="4">
    <w:nsid w:val="FFE764F1"/>
    <w:multiLevelType w:val="singleLevel"/>
    <w:tmpl w:val="FFE764F1"/>
    <w:lvl w:ilvl="0">
      <w:start w:val="6"/>
      <w:numFmt w:val="decimal"/>
      <w:lvlText w:val="%1."/>
      <w:lvlJc w:val="left"/>
      <w:pPr>
        <w:tabs>
          <w:tab w:val="left" w:pos="312"/>
        </w:tabs>
      </w:pPr>
    </w:lvl>
  </w:abstractNum>
  <w:abstractNum w:abstractNumId="5">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1D0B8F28"/>
    <w:multiLevelType w:val="singleLevel"/>
    <w:tmpl w:val="1D0B8F28"/>
    <w:lvl w:ilvl="0">
      <w:start w:val="1"/>
      <w:numFmt w:val="decimal"/>
      <w:suff w:val="space"/>
      <w:lvlText w:val="%1."/>
      <w:lvlJc w:val="left"/>
    </w:lvl>
  </w:abstractNum>
  <w:abstractNum w:abstractNumId="7">
    <w:nsid w:val="1E2F9CF4"/>
    <w:multiLevelType w:val="singleLevel"/>
    <w:tmpl w:val="1E2F9CF4"/>
    <w:lvl w:ilvl="0">
      <w:start w:val="1"/>
      <w:numFmt w:val="chineseCounting"/>
      <w:suff w:val="nothing"/>
      <w:lvlText w:val="%1．"/>
      <w:lvlJc w:val="left"/>
      <w:rPr>
        <w:rFonts w:hint="eastAsia"/>
      </w:rPr>
    </w:lvl>
  </w:abstractNum>
  <w:abstractNum w:abstractNumId="8">
    <w:nsid w:val="25A51AEF"/>
    <w:multiLevelType w:val="singleLevel"/>
    <w:tmpl w:val="25A51AEF"/>
    <w:lvl w:ilvl="0">
      <w:start w:val="2"/>
      <w:numFmt w:val="decimal"/>
      <w:lvlText w:val="%1."/>
      <w:lvlJc w:val="left"/>
      <w:pPr>
        <w:tabs>
          <w:tab w:val="left" w:pos="312"/>
        </w:tabs>
      </w:pPr>
    </w:lvl>
  </w:abstractNum>
  <w:abstractNum w:abstractNumId="9">
    <w:nsid w:val="2F279ECF"/>
    <w:multiLevelType w:val="singleLevel"/>
    <w:tmpl w:val="2F279ECF"/>
    <w:lvl w:ilvl="0">
      <w:start w:val="1"/>
      <w:numFmt w:val="decimal"/>
      <w:suff w:val="space"/>
      <w:lvlText w:val="%1."/>
      <w:lvlJc w:val="left"/>
    </w:lvl>
  </w:abstractNum>
  <w:abstractNum w:abstractNumId="10">
    <w:nsid w:val="3E04821D"/>
    <w:multiLevelType w:val="singleLevel"/>
    <w:tmpl w:val="3E04821D"/>
    <w:lvl w:ilvl="0">
      <w:start w:val="1"/>
      <w:numFmt w:val="decimal"/>
      <w:suff w:val="nothing"/>
      <w:lvlText w:val="%1、"/>
      <w:lvlJc w:val="left"/>
    </w:lvl>
  </w:abstractNum>
  <w:abstractNum w:abstractNumId="11">
    <w:nsid w:val="4A3A3DC5"/>
    <w:multiLevelType w:val="singleLevel"/>
    <w:tmpl w:val="4A3A3DC5"/>
    <w:lvl w:ilvl="0">
      <w:start w:val="1"/>
      <w:numFmt w:val="decimal"/>
      <w:suff w:val="space"/>
      <w:lvlText w:val="%1."/>
      <w:lvlJc w:val="left"/>
    </w:lvl>
  </w:abstractNum>
  <w:abstractNum w:abstractNumId="12">
    <w:nsid w:val="5876B025"/>
    <w:multiLevelType w:val="singleLevel"/>
    <w:tmpl w:val="5876B025"/>
    <w:lvl w:ilvl="0">
      <w:start w:val="1"/>
      <w:numFmt w:val="decimal"/>
      <w:suff w:val="space"/>
      <w:lvlText w:val="%1."/>
      <w:lvlJc w:val="left"/>
    </w:lvl>
  </w:abstractNum>
  <w:abstractNum w:abstractNumId="13">
    <w:nsid w:val="5B144B2F"/>
    <w:multiLevelType w:val="singleLevel"/>
    <w:tmpl w:val="5B144B2F"/>
    <w:lvl w:ilvl="0">
      <w:start w:val="1"/>
      <w:numFmt w:val="decimal"/>
      <w:lvlText w:val="%1."/>
      <w:lvlJc w:val="left"/>
      <w:pPr>
        <w:tabs>
          <w:tab w:val="left" w:pos="312"/>
        </w:tabs>
      </w:pPr>
    </w:lvl>
  </w:abstractNum>
  <w:abstractNum w:abstractNumId="14">
    <w:nsid w:val="5B41E216"/>
    <w:multiLevelType w:val="singleLevel"/>
    <w:tmpl w:val="5B41E216"/>
    <w:lvl w:ilvl="0">
      <w:start w:val="1"/>
      <w:numFmt w:val="chineseCounting"/>
      <w:suff w:val="nothing"/>
      <w:lvlText w:val="%1、"/>
      <w:lvlJc w:val="left"/>
      <w:rPr>
        <w:rFonts w:hint="eastAsia"/>
      </w:rPr>
    </w:lvl>
  </w:abstractNum>
  <w:abstractNum w:abstractNumId="15">
    <w:nsid w:val="72B6F3F2"/>
    <w:multiLevelType w:val="singleLevel"/>
    <w:tmpl w:val="72B6F3F2"/>
    <w:lvl w:ilvl="0">
      <w:start w:val="2"/>
      <w:numFmt w:val="chineseCounting"/>
      <w:suff w:val="nothing"/>
      <w:lvlText w:val="%1、"/>
      <w:lvlJc w:val="left"/>
      <w:rPr>
        <w:rFonts w:hint="eastAsia"/>
      </w:rPr>
    </w:lvl>
  </w:abstractNum>
  <w:abstractNum w:abstractNumId="16">
    <w:nsid w:val="73FD1BB1"/>
    <w:multiLevelType w:val="singleLevel"/>
    <w:tmpl w:val="73FD1BB1"/>
    <w:lvl w:ilvl="0">
      <w:start w:val="1"/>
      <w:numFmt w:val="decimal"/>
      <w:suff w:val="nothing"/>
      <w:lvlText w:val="%1、"/>
      <w:lvlJc w:val="left"/>
    </w:lvl>
  </w:abstractNum>
  <w:num w:numId="1">
    <w:abstractNumId w:val="14"/>
  </w:num>
  <w:num w:numId="2">
    <w:abstractNumId w:val="15"/>
  </w:num>
  <w:num w:numId="3">
    <w:abstractNumId w:val="16"/>
  </w:num>
  <w:num w:numId="4">
    <w:abstractNumId w:val="10"/>
  </w:num>
  <w:num w:numId="5">
    <w:abstractNumId w:val="0"/>
  </w:num>
  <w:num w:numId="6">
    <w:abstractNumId w:val="2"/>
  </w:num>
  <w:num w:numId="7">
    <w:abstractNumId w:val="4"/>
  </w:num>
  <w:num w:numId="8">
    <w:abstractNumId w:val="7"/>
  </w:num>
  <w:num w:numId="9">
    <w:abstractNumId w:val="8"/>
  </w:num>
  <w:num w:numId="10">
    <w:abstractNumId w:val="5"/>
  </w:num>
  <w:num w:numId="11">
    <w:abstractNumId w:val="13"/>
  </w:num>
  <w:num w:numId="12">
    <w:abstractNumId w:val="1"/>
  </w:num>
  <w:num w:numId="13">
    <w:abstractNumId w:val="6"/>
  </w:num>
  <w:num w:numId="14">
    <w:abstractNumId w:val="12"/>
  </w:num>
  <w:num w:numId="15">
    <w:abstractNumId w:val="11"/>
  </w:num>
  <w:num w:numId="16">
    <w:abstractNumId w:val="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1C6704"/>
    <w:rsid w:val="004865AC"/>
    <w:rsid w:val="004C4732"/>
    <w:rsid w:val="004E5ED4"/>
    <w:rsid w:val="005F4FBF"/>
    <w:rsid w:val="006D39D7"/>
    <w:rsid w:val="007710D7"/>
    <w:rsid w:val="00780BC2"/>
    <w:rsid w:val="008675A9"/>
    <w:rsid w:val="00885397"/>
    <w:rsid w:val="00AA6903"/>
    <w:rsid w:val="00C879F8"/>
    <w:rsid w:val="00D13207"/>
    <w:rsid w:val="00E150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rsid w:val="001C6704"/>
    <w:rPr>
      <w:rFonts w:ascii="宋体" w:eastAsia="宋体" w:hAnsi="宋体" w:cs="Times New Roman"/>
      <w:b/>
      <w:bCs/>
      <w:kern w:val="44"/>
      <w:sz w:val="48"/>
      <w:szCs w:val="48"/>
    </w:rPr>
  </w:style>
  <w:style w:type="character" w:customStyle="1" w:styleId="3Char">
    <w:name w:val="标题 3 Char"/>
    <w:basedOn w:val="a0"/>
    <w:link w:val="3"/>
    <w:qFormat/>
    <w:rsid w:val="001C6704"/>
    <w:rPr>
      <w:rFonts w:ascii="Times New Roman" w:eastAsia="宋体" w:hAnsi="Times New Roman" w:cs="Times New Roman"/>
      <w:b/>
      <w:bCs/>
      <w:sz w:val="32"/>
      <w:szCs w:val="32"/>
    </w:rPr>
  </w:style>
  <w:style w:type="paragraph" w:styleId="a7">
    <w:name w:val="Normal Indent"/>
    <w:basedOn w:val="a"/>
    <w:semiHidden/>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semiHidden/>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545</Words>
  <Characters>3113</Characters>
  <Application>Microsoft Office Word</Application>
  <DocSecurity>0</DocSecurity>
  <Lines>25</Lines>
  <Paragraphs>7</Paragraphs>
  <ScaleCrop>false</ScaleCrop>
  <Company>Microsoft</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8</cp:revision>
  <dcterms:created xsi:type="dcterms:W3CDTF">2025-12-03T08:28:00Z</dcterms:created>
  <dcterms:modified xsi:type="dcterms:W3CDTF">2026-03-12T08:58:00Z</dcterms:modified>
</cp:coreProperties>
</file>