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全区邮寄配送服务项目采购需求</w:t>
      </w:r>
    </w:p>
    <w:p>
      <w:pPr>
        <w:spacing w:line="360" w:lineRule="auto"/>
        <w:ind w:firstLine="645"/>
        <w:rPr>
          <w:rFonts w:hint="eastAsia" w:ascii="彩虹粗仿宋" w:hAnsi="宋体" w:eastAsia="彩虹粗仿宋" w:cs="Times New Roman"/>
          <w:b/>
          <w:snapToGrid w:val="0"/>
          <w:kern w:val="0"/>
          <w:sz w:val="32"/>
          <w:szCs w:val="32"/>
        </w:rPr>
      </w:pPr>
    </w:p>
    <w:p>
      <w:pPr>
        <w:numPr>
          <w:ilvl w:val="0"/>
          <w:numId w:val="1"/>
        </w:numPr>
        <w:spacing w:line="360" w:lineRule="auto"/>
        <w:ind w:firstLine="645"/>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rPr>
        <w:t>委托供应商承办文件资料、轻型物品等资料及物品（以下简称“配送物品”）的配送业务。供应商应提供包括但不限于上门揽收服务、“本人签收”投递服务、反馈信息服务、专用通道管理服务</w:t>
      </w:r>
      <w:r>
        <w:rPr>
          <w:rFonts w:hint="eastAsia" w:ascii="彩虹粗仿宋" w:hAnsi="宋体" w:eastAsia="彩虹粗仿宋" w:cs="Times New Roman"/>
          <w:snapToGrid w:val="0"/>
          <w:color w:val="auto"/>
          <w:kern w:val="0"/>
          <w:sz w:val="32"/>
          <w:szCs w:val="32"/>
          <w:lang w:eastAsia="zh-CN"/>
        </w:rPr>
        <w:t>。</w:t>
      </w:r>
    </w:p>
    <w:p>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二、供应商资质要求</w:t>
      </w:r>
    </w:p>
    <w:p>
      <w:pPr>
        <w:spacing w:line="360" w:lineRule="auto"/>
        <w:ind w:firstLine="640" w:firstLineChars="200"/>
        <w:rPr>
          <w:rFonts w:hint="eastAsia" w:ascii="彩虹粗仿宋" w:hAnsi="宋体" w:eastAsia="彩虹粗仿宋" w:cs="彩虹粗仿宋"/>
          <w:snapToGrid w:val="0"/>
          <w:sz w:val="32"/>
          <w:szCs w:val="32"/>
          <w:lang w:eastAsia="zh-CN"/>
        </w:rPr>
      </w:pPr>
      <w:r>
        <w:rPr>
          <w:rFonts w:ascii="彩虹粗仿宋" w:hAnsi="宋体" w:eastAsia="彩虹粗仿宋"/>
          <w:snapToGrid w:val="0"/>
          <w:kern w:val="0"/>
          <w:sz w:val="32"/>
          <w:szCs w:val="32"/>
        </w:rPr>
        <w:t>1.</w:t>
      </w:r>
      <w:r>
        <w:rPr>
          <w:rFonts w:hint="eastAsia" w:ascii="彩虹粗仿宋" w:hAnsi="宋体" w:eastAsia="彩虹粗仿宋"/>
          <w:snapToGrid w:val="0"/>
          <w:kern w:val="0"/>
          <w:sz w:val="32"/>
          <w:szCs w:val="32"/>
        </w:rPr>
        <w:t>供应商</w:t>
      </w:r>
      <w:r>
        <w:rPr>
          <w:rFonts w:hint="eastAsia" w:ascii="彩虹粗仿宋" w:hAnsi="宋体" w:eastAsia="彩虹粗仿宋"/>
          <w:snapToGrid w:val="0"/>
          <w:kern w:val="0"/>
          <w:sz w:val="32"/>
          <w:szCs w:val="32"/>
          <w:lang w:eastAsia="zh-CN"/>
        </w:rPr>
        <w:t>需</w:t>
      </w:r>
      <w:r>
        <w:rPr>
          <w:rFonts w:hint="eastAsia" w:ascii="彩虹粗仿宋" w:hAnsi="宋体" w:eastAsia="彩虹粗仿宋"/>
          <w:snapToGrid w:val="0"/>
          <w:kern w:val="0"/>
          <w:sz w:val="32"/>
          <w:szCs w:val="32"/>
        </w:rPr>
        <w:t>持有经市场监管部门核准的《营业执照》，经营范围需包含快递服务、物流运输</w:t>
      </w:r>
      <w:r>
        <w:rPr>
          <w:rFonts w:hint="eastAsia" w:ascii="彩虹粗仿宋" w:hAnsi="宋体" w:eastAsia="彩虹粗仿宋"/>
          <w:snapToGrid w:val="0"/>
          <w:kern w:val="0"/>
          <w:sz w:val="32"/>
          <w:szCs w:val="32"/>
          <w:lang w:eastAsia="zh-CN"/>
        </w:rPr>
        <w:t>或物流服务、国际快递或国际运输</w:t>
      </w:r>
      <w:r>
        <w:rPr>
          <w:rFonts w:hint="eastAsia" w:ascii="彩虹粗仿宋" w:hAnsi="宋体" w:eastAsia="彩虹粗仿宋"/>
          <w:snapToGrid w:val="0"/>
          <w:kern w:val="0"/>
          <w:sz w:val="32"/>
          <w:szCs w:val="32"/>
        </w:rPr>
        <w:t>等邮政业务许可。</w:t>
      </w:r>
    </w:p>
    <w:p>
      <w:pPr>
        <w:spacing w:line="360" w:lineRule="auto"/>
        <w:ind w:firstLine="640" w:firstLineChars="200"/>
        <w:rPr>
          <w:rFonts w:hint="eastAsia" w:ascii="彩虹粗仿宋" w:hAnsi="宋体" w:eastAsia="彩虹粗仿宋" w:cs="彩虹粗仿宋"/>
          <w:snapToGrid w:val="0"/>
          <w:sz w:val="32"/>
          <w:szCs w:val="32"/>
          <w:lang w:eastAsia="zh-CN"/>
        </w:rPr>
      </w:pPr>
      <w:r>
        <w:rPr>
          <w:rFonts w:hint="eastAsia" w:ascii="彩虹粗仿宋" w:hAnsi="宋体" w:eastAsia="彩虹粗仿宋" w:cs="彩虹粗仿宋"/>
          <w:snapToGrid w:val="0"/>
          <w:sz w:val="32"/>
          <w:szCs w:val="32"/>
          <w:lang w:val="en-US" w:eastAsia="zh-CN"/>
        </w:rPr>
        <w:t>2</w:t>
      </w:r>
      <w:r>
        <w:rPr>
          <w:rFonts w:ascii="彩虹粗仿宋" w:hAnsi="宋体" w:eastAsia="彩虹粗仿宋" w:cs="彩虹粗仿宋"/>
          <w:snapToGrid w:val="0"/>
          <w:sz w:val="32"/>
          <w:szCs w:val="32"/>
        </w:rPr>
        <w:t>.</w:t>
      </w:r>
      <w:r>
        <w:rPr>
          <w:rFonts w:hint="eastAsia" w:ascii="彩虹粗仿宋" w:hAnsi="宋体" w:eastAsia="彩虹粗仿宋" w:cs="彩虹粗仿宋"/>
          <w:snapToGrid w:val="0"/>
          <w:sz w:val="32"/>
          <w:szCs w:val="32"/>
          <w:lang w:eastAsia="zh-CN"/>
        </w:rPr>
        <w:t>应取得《快递业务经营许可证》及《道路运输经营许可证》。</w:t>
      </w:r>
    </w:p>
    <w:p>
      <w:pPr>
        <w:spacing w:line="360" w:lineRule="auto"/>
        <w:ind w:firstLine="640"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三、</w:t>
      </w:r>
      <w:r>
        <w:rPr>
          <w:rFonts w:hint="eastAsia" w:ascii="彩虹粗仿宋" w:hAnsi="宋体" w:eastAsia="彩虹粗仿宋" w:cs="Times New Roman"/>
          <w:b/>
          <w:snapToGrid w:val="0"/>
          <w:kern w:val="0"/>
          <w:sz w:val="32"/>
          <w:szCs w:val="32"/>
        </w:rPr>
        <w:t>服务质量要求</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（一）上门揽收服务</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我行提交需要供应商进行配送的配送物品，由供应商委派人员到我行指定地点上门揽收。</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（二）“本人签收”投递服务</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供应商将配送物品安全准确地递送到我行指定的收</w:t>
      </w:r>
      <w:r>
        <w:rPr>
          <w:rFonts w:hint="eastAsia" w:ascii="彩虹粗仿宋" w:eastAsia="彩虹粗仿宋"/>
          <w:kern w:val="24"/>
          <w:sz w:val="32"/>
          <w:szCs w:val="32"/>
          <w:lang w:eastAsia="zh-CN"/>
        </w:rPr>
        <w:t>件</w:t>
      </w:r>
      <w:r>
        <w:rPr>
          <w:rFonts w:hint="eastAsia" w:ascii="彩虹粗仿宋" w:eastAsia="彩虹粗仿宋"/>
          <w:kern w:val="24"/>
          <w:sz w:val="32"/>
          <w:szCs w:val="32"/>
        </w:rPr>
        <w:t>人。</w:t>
      </w:r>
    </w:p>
    <w:p>
      <w:pPr>
        <w:spacing w:line="360" w:lineRule="auto"/>
        <w:ind w:firstLine="640" w:firstLineChars="200"/>
        <w:jc w:val="left"/>
        <w:rPr>
          <w:rFonts w:ascii="彩虹粗仿宋" w:eastAsia="彩虹粗仿宋"/>
          <w:kern w:val="24"/>
          <w:sz w:val="32"/>
          <w:szCs w:val="32"/>
        </w:rPr>
      </w:pPr>
      <w:r>
        <w:rPr>
          <w:rFonts w:hint="eastAsia" w:ascii="彩虹粗仿宋" w:eastAsia="彩虹粗仿宋"/>
          <w:kern w:val="24"/>
          <w:sz w:val="32"/>
          <w:szCs w:val="32"/>
        </w:rPr>
        <w:t>（三）反馈信息服务</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供应商应</w:t>
      </w:r>
      <w:r>
        <w:rPr>
          <w:rFonts w:ascii="彩虹粗仿宋" w:eastAsia="彩虹粗仿宋"/>
          <w:kern w:val="24"/>
          <w:sz w:val="32"/>
          <w:szCs w:val="32"/>
        </w:rPr>
        <w:t>为我行提供</w:t>
      </w:r>
      <w:r>
        <w:rPr>
          <w:rFonts w:hint="eastAsia" w:ascii="彩虹粗仿宋" w:eastAsia="彩虹粗仿宋"/>
          <w:kern w:val="24"/>
          <w:sz w:val="32"/>
          <w:szCs w:val="32"/>
        </w:rPr>
        <w:t>邮件</w:t>
      </w:r>
      <w:r>
        <w:rPr>
          <w:rFonts w:ascii="彩虹粗仿宋" w:eastAsia="彩虹粗仿宋"/>
          <w:kern w:val="24"/>
          <w:sz w:val="32"/>
          <w:szCs w:val="32"/>
        </w:rPr>
        <w:t>状态查询服务</w:t>
      </w:r>
      <w:r>
        <w:rPr>
          <w:rFonts w:hint="eastAsia" w:ascii="彩虹粗仿宋" w:eastAsia="彩虹粗仿宋"/>
          <w:kern w:val="24"/>
          <w:sz w:val="32"/>
          <w:szCs w:val="32"/>
        </w:rPr>
        <w:t>（关键节点信息及签收信息等）</w:t>
      </w:r>
      <w:r>
        <w:rPr>
          <w:rFonts w:hint="eastAsia" w:ascii="彩虹粗仿宋" w:eastAsia="彩虹粗仿宋"/>
          <w:kern w:val="24"/>
          <w:sz w:val="32"/>
          <w:szCs w:val="32"/>
          <w:lang w:eastAsia="zh-CN"/>
        </w:rPr>
        <w:t>，</w:t>
      </w:r>
      <w:r>
        <w:rPr>
          <w:rFonts w:hint="eastAsia" w:ascii="彩虹粗仿宋" w:eastAsia="彩虹粗仿宋"/>
          <w:kern w:val="24"/>
          <w:sz w:val="32"/>
          <w:szCs w:val="32"/>
        </w:rPr>
        <w:t>从揽收、分拣、运输到投递，每一个环节实现追踪，寄递记录和签收。</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（四）专用通道管理服务</w:t>
      </w:r>
    </w:p>
    <w:p>
      <w:pPr>
        <w:spacing w:line="360" w:lineRule="auto"/>
        <w:ind w:firstLine="645"/>
        <w:jc w:val="left"/>
        <w:rPr>
          <w:rFonts w:ascii="彩虹粗仿宋" w:eastAsia="彩虹粗仿宋"/>
          <w:kern w:val="24"/>
          <w:sz w:val="32"/>
          <w:szCs w:val="32"/>
        </w:rPr>
      </w:pPr>
      <w:r>
        <w:rPr>
          <w:rFonts w:hint="eastAsia" w:ascii="彩虹粗仿宋" w:eastAsia="彩虹粗仿宋"/>
          <w:kern w:val="24"/>
          <w:sz w:val="32"/>
          <w:szCs w:val="32"/>
        </w:rPr>
        <w:t>供应商须按照我行的管理要求，安装安全管理系统及监控设备，制定严格的业务处理流程及相关安全规定，确保物品配送完全安全、准确，确保信息安全，同时，负责将配送详情单（发寄联）存联和邮件物流轨迹信息妥善保管。</w:t>
      </w:r>
    </w:p>
    <w:p>
      <w:pPr>
        <w:numPr>
          <w:ilvl w:val="0"/>
          <w:numId w:val="2"/>
        </w:numPr>
        <w:spacing w:line="360" w:lineRule="auto"/>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我行有权对供应商递送配送物品的服务质量进行监督，因供应商故意或重大过失造成配送物品的开封、遗失、损毁，供应商应免费予以再次办理派送。</w:t>
      </w:r>
    </w:p>
    <w:p>
      <w:pPr>
        <w:numPr>
          <w:ilvl w:val="0"/>
          <w:numId w:val="2"/>
        </w:num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配送人员对于外包装完好邮件按照流程正常完成配送；对于外包装破损邮件，应主动联系收件人，并与收件人共同开拆邮件和验视内件，内件完整无损或不影响使用的，做好收件人解释工作并引导收件人签收；内件破损、短少的，供应商投递员与收件人对邮件进行双人眼同封装，并在详情单空表处注明原因并双方签字，邮件做退回处理，并做相应赔偿处理；因收件人自身原因要求退件的，供应商应注明拒收原因并做退回处理。对于无法联系的收件人，供应商应按照我行提供的地址进行上门配送，至少配送三次，仍无法妥投的，供应商应将配送物品退回我行。</w:t>
      </w:r>
    </w:p>
    <w:p>
      <w:pPr>
        <w:numPr>
          <w:ilvl w:val="0"/>
          <w:numId w:val="3"/>
        </w:numPr>
        <w:spacing w:line="360" w:lineRule="auto"/>
        <w:ind w:firstLine="643"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服务数量要求</w:t>
      </w:r>
    </w:p>
    <w:p>
      <w:pPr>
        <w:spacing w:line="360" w:lineRule="auto"/>
        <w:ind w:firstLine="640"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snapToGrid w:val="0"/>
          <w:kern w:val="0"/>
          <w:sz w:val="32"/>
          <w:szCs w:val="32"/>
        </w:rPr>
        <w:t>配送物品交接数量以交接时的实物数量为准。供应商需满足我方发件量</w:t>
      </w:r>
      <w:r>
        <w:rPr>
          <w:rFonts w:hint="eastAsia" w:ascii="彩虹粗仿宋" w:hAnsi="宋体" w:eastAsia="彩虹粗仿宋"/>
          <w:snapToGrid w:val="0"/>
          <w:kern w:val="0"/>
          <w:sz w:val="32"/>
          <w:szCs w:val="32"/>
          <w:lang w:eastAsia="zh-CN"/>
        </w:rPr>
        <w:t>需求，确保在旺季、节假日等业务高峰期发件量不受其他因素影响。</w:t>
      </w:r>
    </w:p>
    <w:p>
      <w:pPr>
        <w:numPr>
          <w:ilvl w:val="0"/>
          <w:numId w:val="3"/>
        </w:numPr>
        <w:spacing w:line="360" w:lineRule="auto"/>
        <w:ind w:left="0" w:leftChars="0" w:firstLine="643"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服务供应安排</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1.供应商应安排固定正式员工、按照我行时间点要求到达交接地点进行配送物品交接。</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2.从供应商接收配送物品至配送物品被递送到收件人手中的服务时限为：</w:t>
      </w:r>
      <w:r>
        <w:rPr>
          <w:rFonts w:hint="eastAsia" w:ascii="彩虹粗仿宋" w:hAnsi="宋体" w:eastAsia="彩虹粗仿宋"/>
          <w:snapToGrid w:val="0"/>
          <w:kern w:val="0"/>
          <w:sz w:val="32"/>
          <w:szCs w:val="32"/>
          <w:highlight w:val="none"/>
        </w:rPr>
        <w:t>除协议另有约定外，区内配送物品T（接收日）+1个自然日完成配送（即 2个自然日内完成配送）；区外重点城市</w:t>
      </w:r>
      <w:r>
        <w:rPr>
          <w:rFonts w:hint="eastAsia" w:ascii="彩虹粗仿宋" w:hAnsi="宋体" w:eastAsia="彩虹粗仿宋"/>
          <w:snapToGrid w:val="0"/>
          <w:kern w:val="0"/>
          <w:sz w:val="32"/>
          <w:szCs w:val="32"/>
          <w:highlight w:val="none"/>
          <w:lang w:eastAsia="zh-CN"/>
        </w:rPr>
        <w:t>（北京、上海、广州、深圳）</w:t>
      </w:r>
      <w:r>
        <w:rPr>
          <w:rFonts w:hint="eastAsia" w:ascii="彩虹粗仿宋" w:hAnsi="宋体" w:eastAsia="彩虹粗仿宋"/>
          <w:snapToGrid w:val="0"/>
          <w:kern w:val="0"/>
          <w:sz w:val="32"/>
          <w:szCs w:val="32"/>
          <w:highlight w:val="none"/>
        </w:rPr>
        <w:t>配送物品T（接收日）+</w:t>
      </w:r>
      <w:r>
        <w:rPr>
          <w:rFonts w:hint="eastAsia" w:ascii="彩虹粗仿宋" w:hAnsi="宋体" w:eastAsia="彩虹粗仿宋"/>
          <w:snapToGrid w:val="0"/>
          <w:kern w:val="0"/>
          <w:sz w:val="32"/>
          <w:szCs w:val="32"/>
          <w:highlight w:val="none"/>
          <w:lang w:val="en-US" w:eastAsia="zh-CN"/>
        </w:rPr>
        <w:t>2</w:t>
      </w:r>
      <w:r>
        <w:rPr>
          <w:rFonts w:hint="eastAsia" w:ascii="彩虹粗仿宋" w:hAnsi="宋体" w:eastAsia="彩虹粗仿宋"/>
          <w:snapToGrid w:val="0"/>
          <w:kern w:val="0"/>
          <w:sz w:val="32"/>
          <w:szCs w:val="32"/>
          <w:highlight w:val="none"/>
        </w:rPr>
        <w:t>个自然日完成配送（即</w:t>
      </w:r>
      <w:r>
        <w:rPr>
          <w:rFonts w:hint="eastAsia" w:ascii="彩虹粗仿宋" w:hAnsi="宋体" w:eastAsia="彩虹粗仿宋"/>
          <w:snapToGrid w:val="0"/>
          <w:kern w:val="0"/>
          <w:sz w:val="32"/>
          <w:szCs w:val="32"/>
          <w:highlight w:val="none"/>
          <w:lang w:val="en-US" w:eastAsia="zh-CN"/>
        </w:rPr>
        <w:t>3</w:t>
      </w:r>
      <w:r>
        <w:rPr>
          <w:rFonts w:hint="eastAsia" w:ascii="彩虹粗仿宋" w:hAnsi="宋体" w:eastAsia="彩虹粗仿宋"/>
          <w:snapToGrid w:val="0"/>
          <w:kern w:val="0"/>
          <w:sz w:val="32"/>
          <w:szCs w:val="32"/>
          <w:highlight w:val="none"/>
        </w:rPr>
        <w:t>个自然日内完成配送）；</w:t>
      </w:r>
      <w:r>
        <w:rPr>
          <w:rFonts w:hint="eastAsia" w:ascii="彩虹粗仿宋" w:hAnsi="宋体" w:eastAsia="彩虹粗仿宋"/>
          <w:snapToGrid w:val="0"/>
          <w:kern w:val="0"/>
          <w:sz w:val="32"/>
          <w:szCs w:val="32"/>
        </w:rPr>
        <w:t>区内邮件收件人地址偏远或不确定,如收件人在乡镇、农村等情况的,区外邮件由于收件人地址在非重点城市的，按照官网公布服务时限内完成配送。因我行原因提供收件人信息错误和客户要求延迟投递等原因导致无法按时完成配送的，供应商应在当天通过系统反馈配送异常原因信息。</w:t>
      </w:r>
    </w:p>
    <w:p>
      <w:pPr>
        <w:spacing w:line="360" w:lineRule="auto"/>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3.</w:t>
      </w:r>
      <w:r>
        <w:rPr>
          <w:rFonts w:hint="eastAsia"/>
        </w:rPr>
        <w:t xml:space="preserve"> </w:t>
      </w:r>
      <w:r>
        <w:rPr>
          <w:rFonts w:hint="eastAsia" w:ascii="彩虹粗仿宋" w:hAnsi="宋体" w:eastAsia="彩虹粗仿宋"/>
          <w:snapToGrid w:val="0"/>
          <w:kern w:val="0"/>
          <w:sz w:val="32"/>
          <w:szCs w:val="32"/>
        </w:rPr>
        <w:t>配送物品交接数量以交接时的实物数量为准，配送物品在供应商内部配送过程中，需要对每一交接环节做好交接登记工作，确保配送物品安全、信息可查，当日交接完毕的配送物品当日全部寄出。</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4.退回邮件自退回当日起（T日），应于T+3日（工作日）内将邮件返回我行，由我行核实后通知作进一步处理。供应商退回配送物品的时间最迟不得超过从我行接收配送物品之日起 10日（工作日）。</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5.</w:t>
      </w:r>
      <w:r>
        <w:rPr>
          <w:rFonts w:hint="eastAsia"/>
        </w:rPr>
        <w:t xml:space="preserve"> </w:t>
      </w:r>
      <w:r>
        <w:rPr>
          <w:rFonts w:hint="eastAsia" w:ascii="彩虹粗仿宋" w:hAnsi="宋体" w:eastAsia="彩虹粗仿宋"/>
          <w:snapToGrid w:val="0"/>
          <w:kern w:val="0"/>
          <w:sz w:val="32"/>
          <w:szCs w:val="32"/>
        </w:rPr>
        <w:t>供应商应承担自我行领取配送物品时起至收件人签收或收件人拒收后退回我行签收时止，配送物品毁损、灭失的风险，并应在过错范围内承担相应直接经济损害赔偿和声誉损失等其他非经济损失责任。应按以下约定执行：</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（1）因供应商未按作业要求对收件人身份进行验证的，即将配送物品直接交付，或因恶意串通的，由供应商承担全部责任，并应承担由此产生的过错范围内的相应法律后果。</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对于供应商因用工不规范，或存在其他风险隐患，或严重违反协议约定，或在履行协议过程中，供应商工作人员因故意或重大过失侵犯包括但不限于我行或我行客户在内的任何第三方合法权益，特别是违反保密义务，侵犯我行客户信息安全，导致我行客户合法权益受到影响或损害的，经我行举证证明后，有权随时解除或提前终止协议，供应商应承担由此产生的过错范围内的相应法律后果并赔偿我行损失。</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因供应商原因致使邮件丢失、毁损、客户信息失密，由此对我行声誉造成不良影响或客户对我行诉讼的，供应商有责任积极配合采取措施消除对我行的不良负面影响及应对诉讼，同时，我行有继续向供应商追偿相应法律后果的权利。</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在供应商保管、配送物品期间，如发现配送物品丢失、被盗，应及时告知我行，提供相关配送物品信息，并向我行出具书面说明，由我行对有关配送物品及时进行止付、冻结等后续处理。如配送物品丢失，造成我行或第三人经济损失的，供应商应承担相应赔偿责任。因供应商原因造成邮件丢失、毁损的，供应商承担赔偿责任，但以下情况除外：</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①因国家安全或追查刑事犯罪的需要，供应商有义务配合相关部门对邮件进行开箱检查。因此造成的邮件毁损、灭失，供应商不承担赔偿责任，但应依法履行通知义务。</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②外包装完好而内件短少或毁损，收件人签收时未提出异议的。</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③我行自寄递邮件之日起满一年未查询又未提出书面赔偿要求的。</w:t>
      </w:r>
    </w:p>
    <w:p>
      <w:pPr>
        <w:spacing w:line="360" w:lineRule="auto"/>
        <w:ind w:firstLine="640"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snapToGrid w:val="0"/>
          <w:kern w:val="0"/>
          <w:sz w:val="32"/>
          <w:szCs w:val="32"/>
        </w:rPr>
        <w:t>④不可抗力：如因政府行为、战争、自然灾害、检疫限制、航空流控、交通管制、罢工、禁运、地震、不同寻常的恶劣天气以及其他类似的属于无法预见、无法克服、无法避免的客观因素造成的对其在本合同项下的任何义务的延迟履行或不履行，任何一方均不承担任何责任。因不可抗力使对方受到损失，遭受不可抗力一方应及时通知对方，并附随相关证明材料；接到通知的一方有义务采取积极措施防止损失的扩大，否则无权就扩大的损失要求对方赔偿。</w:t>
      </w:r>
    </w:p>
    <w:p>
      <w:pPr>
        <w:numPr>
          <w:ilvl w:val="0"/>
          <w:numId w:val="3"/>
        </w:numPr>
        <w:adjustRightInd w:val="0"/>
        <w:snapToGrid w:val="0"/>
        <w:spacing w:line="360" w:lineRule="auto"/>
        <w:ind w:left="0" w:leftChars="0" w:firstLine="643" w:firstLineChars="200"/>
        <w:rPr>
          <w:rFonts w:hint="eastAsia"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款项支付要求</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（一）协议项下的价款包含增值税的含税价，除协议约定计结费用外，我行无须再向供应商支付其他款项。</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 xml:space="preserve">（二）供应商应向我行开具符合规定的增值税专用发票。 </w:t>
      </w:r>
    </w:p>
    <w:p>
      <w:pPr>
        <w:adjustRightInd w:val="0"/>
        <w:snapToGrid w:val="0"/>
        <w:spacing w:line="360" w:lineRule="auto"/>
        <w:ind w:firstLine="640" w:firstLineChars="200"/>
        <w:rPr>
          <w:rFonts w:hint="eastAsia" w:ascii="彩虹粗仿宋" w:hAnsi="宋体" w:eastAsia="彩虹粗仿宋"/>
          <w:snapToGrid w:val="0"/>
          <w:kern w:val="0"/>
          <w:sz w:val="32"/>
          <w:szCs w:val="32"/>
          <w:highlight w:val="yellow"/>
        </w:rPr>
      </w:pPr>
      <w:r>
        <w:rPr>
          <w:rFonts w:hint="eastAsia" w:ascii="彩虹粗仿宋" w:hAnsi="宋体" w:eastAsia="彩虹粗仿宋"/>
          <w:snapToGrid w:val="0"/>
          <w:kern w:val="0"/>
          <w:sz w:val="32"/>
          <w:szCs w:val="32"/>
          <w:highlight w:val="none"/>
        </w:rPr>
        <w:t>（三）服务费用按月结算，本月支付上月服务费用。供应商于每月的第5个工作日内向</w:t>
      </w:r>
      <w:r>
        <w:rPr>
          <w:rFonts w:hint="eastAsia" w:ascii="彩虹粗仿宋" w:hAnsi="宋体" w:eastAsia="彩虹粗仿宋"/>
          <w:snapToGrid w:val="0"/>
          <w:kern w:val="0"/>
          <w:sz w:val="32"/>
          <w:szCs w:val="32"/>
          <w:highlight w:val="none"/>
          <w:lang w:eastAsia="zh-CN"/>
        </w:rPr>
        <w:t>我行使用机构</w:t>
      </w:r>
      <w:r>
        <w:rPr>
          <w:rFonts w:hint="eastAsia" w:ascii="彩虹粗仿宋" w:hAnsi="宋体" w:eastAsia="彩虹粗仿宋"/>
          <w:snapToGrid w:val="0"/>
          <w:kern w:val="0"/>
          <w:sz w:val="32"/>
          <w:szCs w:val="32"/>
          <w:highlight w:val="none"/>
        </w:rPr>
        <w:t>开出上月服务费用清单，列明服务项目明细和收费金额。</w:t>
      </w:r>
    </w:p>
    <w:p>
      <w:pPr>
        <w:adjustRightInd w:val="0"/>
        <w:snapToGrid w:val="0"/>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snapToGrid w:val="0"/>
          <w:kern w:val="0"/>
          <w:sz w:val="32"/>
          <w:szCs w:val="32"/>
        </w:rPr>
        <w:t>（四）供应商如弄虚作假，提供虚假发票或借用其他公司名义代开发票的，我行有权采取包括拒绝支付配送快递服务费、解除协议、终止合作，以及要求在过错范围内赔偿相应的直接经济损失。</w:t>
      </w:r>
    </w:p>
    <w:p>
      <w:pPr>
        <w:adjustRightInd w:val="0"/>
        <w:snapToGrid w:val="0"/>
        <w:spacing w:line="360" w:lineRule="auto"/>
        <w:ind w:firstLine="643" w:firstLineChars="200"/>
        <w:rPr>
          <w:rFonts w:hint="eastAsia"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八、报价要求</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1</w:t>
      </w:r>
      <w:r>
        <w:rPr>
          <w:rFonts w:ascii="彩虹粗仿宋" w:eastAsia="彩虹粗仿宋"/>
          <w:sz w:val="32"/>
          <w:szCs w:val="32"/>
        </w:rPr>
        <w:t>.</w:t>
      </w:r>
      <w:r>
        <w:rPr>
          <w:rFonts w:hint="eastAsia" w:ascii="彩虹粗仿宋" w:eastAsia="彩虹粗仿宋"/>
          <w:sz w:val="32"/>
          <w:szCs w:val="32"/>
        </w:rPr>
        <w:t>按类别</w:t>
      </w:r>
      <w:r>
        <w:rPr>
          <w:rFonts w:ascii="彩虹粗仿宋" w:eastAsia="彩虹粗仿宋"/>
          <w:sz w:val="32"/>
          <w:szCs w:val="32"/>
        </w:rPr>
        <w:t>分别报单价及</w:t>
      </w:r>
      <w:r>
        <w:rPr>
          <w:rFonts w:hint="eastAsia" w:ascii="彩虹粗仿宋" w:eastAsia="彩虹粗仿宋"/>
          <w:sz w:val="32"/>
          <w:szCs w:val="32"/>
        </w:rPr>
        <w:t>总价</w:t>
      </w:r>
      <w:r>
        <w:rPr>
          <w:rFonts w:ascii="彩虹粗仿宋" w:eastAsia="彩虹粗仿宋"/>
          <w:sz w:val="32"/>
          <w:szCs w:val="32"/>
        </w:rPr>
        <w:t>，并计算所有类别总</w:t>
      </w:r>
      <w:r>
        <w:rPr>
          <w:rFonts w:hint="eastAsia" w:ascii="彩虹粗仿宋" w:eastAsia="彩虹粗仿宋"/>
          <w:sz w:val="32"/>
          <w:szCs w:val="32"/>
        </w:rPr>
        <w:t>价</w:t>
      </w:r>
      <w:r>
        <w:rPr>
          <w:rFonts w:ascii="彩虹粗仿宋" w:eastAsia="彩虹粗仿宋"/>
          <w:sz w:val="32"/>
          <w:szCs w:val="32"/>
        </w:rPr>
        <w:t>的合计金额</w:t>
      </w:r>
      <w:r>
        <w:rPr>
          <w:rFonts w:hint="eastAsia" w:ascii="彩虹粗仿宋" w:eastAsia="彩虹粗仿宋"/>
          <w:sz w:val="32"/>
          <w:szCs w:val="32"/>
        </w:rPr>
        <w:t>，</w:t>
      </w:r>
      <w:r>
        <w:rPr>
          <w:rFonts w:ascii="彩虹粗仿宋" w:eastAsia="彩虹粗仿宋"/>
          <w:sz w:val="32"/>
          <w:szCs w:val="32"/>
        </w:rPr>
        <w:t>我行按</w:t>
      </w:r>
      <w:r>
        <w:rPr>
          <w:rFonts w:hint="eastAsia" w:ascii="彩虹粗仿宋" w:eastAsia="彩虹粗仿宋"/>
          <w:sz w:val="32"/>
          <w:szCs w:val="32"/>
        </w:rPr>
        <w:t>各</w:t>
      </w:r>
      <w:r>
        <w:rPr>
          <w:rFonts w:ascii="彩虹粗仿宋" w:eastAsia="彩虹粗仿宋"/>
          <w:sz w:val="32"/>
          <w:szCs w:val="32"/>
        </w:rPr>
        <w:t>类别实际发出</w:t>
      </w:r>
      <w:r>
        <w:rPr>
          <w:rFonts w:hint="eastAsia" w:ascii="彩虹粗仿宋" w:eastAsia="彩虹粗仿宋"/>
          <w:sz w:val="32"/>
          <w:szCs w:val="32"/>
        </w:rPr>
        <w:t>邮件</w:t>
      </w:r>
      <w:r>
        <w:rPr>
          <w:rFonts w:ascii="彩虹粗仿宋" w:eastAsia="彩虹粗仿宋"/>
          <w:sz w:val="32"/>
          <w:szCs w:val="32"/>
        </w:rPr>
        <w:t>数量结算费用。</w:t>
      </w:r>
    </w:p>
    <w:p>
      <w:pPr>
        <w:adjustRightInd w:val="0"/>
        <w:snapToGrid w:val="0"/>
        <w:spacing w:line="360" w:lineRule="auto"/>
        <w:ind w:firstLine="640" w:firstLineChars="200"/>
        <w:rPr>
          <w:rFonts w:ascii="彩虹粗仿宋" w:eastAsia="彩虹粗仿宋"/>
          <w:sz w:val="32"/>
          <w:szCs w:val="32"/>
        </w:rPr>
      </w:pPr>
      <w:r>
        <w:rPr>
          <w:rFonts w:ascii="彩虹粗仿宋" w:eastAsia="彩虹粗仿宋"/>
          <w:sz w:val="32"/>
          <w:szCs w:val="32"/>
        </w:rPr>
        <w:t>2.报价</w:t>
      </w:r>
      <w:r>
        <w:rPr>
          <w:rFonts w:hint="eastAsia" w:ascii="彩虹粗仿宋" w:eastAsia="彩虹粗仿宋"/>
          <w:sz w:val="32"/>
          <w:szCs w:val="32"/>
        </w:rPr>
        <w:t>为</w:t>
      </w:r>
      <w:r>
        <w:rPr>
          <w:rFonts w:ascii="彩虹粗仿宋" w:eastAsia="彩虹粗仿宋"/>
          <w:sz w:val="32"/>
          <w:szCs w:val="32"/>
        </w:rPr>
        <w:t>邮寄配送</w:t>
      </w:r>
      <w:r>
        <w:rPr>
          <w:rFonts w:hint="eastAsia" w:ascii="彩虹粗仿宋" w:eastAsia="彩虹粗仿宋"/>
          <w:sz w:val="32"/>
          <w:szCs w:val="32"/>
        </w:rPr>
        <w:t>的</w:t>
      </w:r>
      <w:r>
        <w:rPr>
          <w:rFonts w:ascii="彩虹粗仿宋" w:eastAsia="彩虹粗仿宋"/>
          <w:sz w:val="32"/>
          <w:szCs w:val="32"/>
        </w:rPr>
        <w:t>全</w:t>
      </w:r>
      <w:r>
        <w:rPr>
          <w:rFonts w:hint="eastAsia" w:ascii="彩虹粗仿宋" w:eastAsia="彩虹粗仿宋"/>
          <w:sz w:val="32"/>
          <w:szCs w:val="32"/>
        </w:rPr>
        <w:t>包</w:t>
      </w:r>
      <w:r>
        <w:rPr>
          <w:rFonts w:ascii="彩虹粗仿宋" w:eastAsia="彩虹粗仿宋"/>
          <w:sz w:val="32"/>
          <w:szCs w:val="32"/>
        </w:rPr>
        <w:t>服务价格，</w:t>
      </w:r>
      <w:r>
        <w:rPr>
          <w:rFonts w:hint="eastAsia" w:ascii="彩虹粗仿宋" w:eastAsia="彩虹粗仿宋"/>
          <w:sz w:val="32"/>
          <w:szCs w:val="32"/>
        </w:rPr>
        <w:t>包括</w:t>
      </w:r>
      <w:r>
        <w:rPr>
          <w:rFonts w:ascii="彩虹粗仿宋" w:eastAsia="彩虹粗仿宋"/>
          <w:sz w:val="32"/>
          <w:szCs w:val="32"/>
        </w:rPr>
        <w:t>但不限于包装费</w:t>
      </w:r>
      <w:r>
        <w:rPr>
          <w:rFonts w:hint="eastAsia" w:ascii="彩虹粗仿宋" w:eastAsia="彩虹粗仿宋"/>
          <w:sz w:val="32"/>
          <w:szCs w:val="32"/>
        </w:rPr>
        <w:t>（含专用信封、邮寄单、防水袋等）</w:t>
      </w:r>
      <w:r>
        <w:rPr>
          <w:rFonts w:ascii="彩虹粗仿宋" w:eastAsia="彩虹粗仿宋"/>
          <w:sz w:val="32"/>
          <w:szCs w:val="32"/>
        </w:rPr>
        <w:t>、</w:t>
      </w:r>
      <w:r>
        <w:rPr>
          <w:rFonts w:hint="eastAsia" w:ascii="彩虹粗仿宋" w:eastAsia="彩虹粗仿宋"/>
          <w:sz w:val="32"/>
          <w:szCs w:val="32"/>
        </w:rPr>
        <w:t>分拣费</w:t>
      </w:r>
      <w:r>
        <w:rPr>
          <w:rFonts w:ascii="彩虹粗仿宋" w:eastAsia="彩虹粗仿宋"/>
          <w:sz w:val="32"/>
          <w:szCs w:val="32"/>
        </w:rPr>
        <w:t>、</w:t>
      </w:r>
      <w:r>
        <w:rPr>
          <w:rFonts w:hint="eastAsia" w:ascii="彩虹粗仿宋" w:eastAsia="彩虹粗仿宋"/>
          <w:sz w:val="32"/>
          <w:szCs w:val="32"/>
        </w:rPr>
        <w:t>运输</w:t>
      </w:r>
      <w:r>
        <w:rPr>
          <w:rFonts w:ascii="彩虹粗仿宋" w:eastAsia="彩虹粗仿宋"/>
          <w:sz w:val="32"/>
          <w:szCs w:val="32"/>
        </w:rPr>
        <w:t>费、装卸费、</w:t>
      </w:r>
      <w:r>
        <w:rPr>
          <w:rFonts w:hint="eastAsia" w:ascii="彩虹粗仿宋" w:eastAsia="彩虹粗仿宋"/>
          <w:sz w:val="32"/>
          <w:szCs w:val="32"/>
        </w:rPr>
        <w:t>仓储费</w:t>
      </w:r>
      <w:r>
        <w:rPr>
          <w:rFonts w:ascii="彩虹粗仿宋" w:eastAsia="彩虹粗仿宋"/>
          <w:sz w:val="32"/>
          <w:szCs w:val="32"/>
        </w:rPr>
        <w:t>、派送</w:t>
      </w:r>
      <w:r>
        <w:rPr>
          <w:rFonts w:hint="eastAsia" w:ascii="彩虹粗仿宋" w:eastAsia="彩虹粗仿宋"/>
          <w:sz w:val="32"/>
          <w:szCs w:val="32"/>
        </w:rPr>
        <w:t>费（含“本人签收”的密码投递费）、“强制电联”服务费</w:t>
      </w:r>
      <w:r>
        <w:rPr>
          <w:rFonts w:hint="eastAsia" w:ascii="彩虹粗仿宋" w:eastAsia="彩虹粗仿宋"/>
          <w:sz w:val="32"/>
          <w:szCs w:val="32"/>
          <w:lang w:eastAsia="zh-CN"/>
        </w:rPr>
        <w:t>等</w:t>
      </w:r>
      <w:r>
        <w:rPr>
          <w:rFonts w:hint="eastAsia" w:ascii="彩虹粗仿宋" w:eastAsia="彩虹粗仿宋"/>
          <w:sz w:val="32"/>
          <w:szCs w:val="32"/>
        </w:rPr>
        <w:t>。</w:t>
      </w:r>
      <w:r>
        <w:rPr>
          <w:rFonts w:ascii="彩虹粗仿宋" w:eastAsia="彩虹粗仿宋"/>
          <w:sz w:val="32"/>
          <w:szCs w:val="32"/>
        </w:rPr>
        <w:t>我行不再支付其他费</w:t>
      </w:r>
      <w:r>
        <w:rPr>
          <w:rFonts w:hint="eastAsia" w:ascii="彩虹粗仿宋" w:eastAsia="彩虹粗仿宋"/>
          <w:sz w:val="32"/>
          <w:szCs w:val="32"/>
        </w:rPr>
        <w:t>用。</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3.报价为含税价，并注明适用增值税率。</w:t>
      </w:r>
    </w:p>
    <w:p>
      <w:pPr>
        <w:adjustRightInd w:val="0"/>
        <w:snapToGrid w:val="0"/>
        <w:spacing w:line="360" w:lineRule="auto"/>
        <w:rPr>
          <w:rFonts w:ascii="彩虹粗仿宋" w:eastAsia="彩虹粗仿宋"/>
          <w:b/>
          <w:sz w:val="32"/>
          <w:szCs w:val="32"/>
        </w:rPr>
      </w:pPr>
      <w:r>
        <w:rPr>
          <w:rFonts w:hint="eastAsia" w:ascii="彩虹粗仿宋" w:eastAsia="彩虹粗仿宋"/>
          <w:sz w:val="32"/>
          <w:szCs w:val="32"/>
        </w:rPr>
        <w:t xml:space="preserve">                 </w:t>
      </w:r>
      <w:r>
        <w:rPr>
          <w:rFonts w:hint="eastAsia" w:ascii="彩虹粗仿宋" w:eastAsia="彩虹粗仿宋"/>
          <w:b/>
          <w:sz w:val="32"/>
          <w:szCs w:val="32"/>
        </w:rPr>
        <w:t xml:space="preserve"> </w:t>
      </w:r>
      <w:r>
        <w:rPr>
          <w:rFonts w:ascii="彩虹粗仿宋" w:eastAsia="彩虹粗仿宋"/>
          <w:b/>
          <w:sz w:val="32"/>
          <w:szCs w:val="32"/>
        </w:rPr>
        <w:t xml:space="preserve">      </w:t>
      </w:r>
      <w:r>
        <w:rPr>
          <w:rFonts w:hint="eastAsia" w:ascii="彩虹粗仿宋" w:eastAsia="彩虹粗仿宋"/>
          <w:b/>
          <w:sz w:val="32"/>
          <w:szCs w:val="32"/>
        </w:rPr>
        <w:t>报价</w:t>
      </w:r>
      <w:r>
        <w:rPr>
          <w:rFonts w:ascii="彩虹粗仿宋" w:eastAsia="彩虹粗仿宋"/>
          <w:b/>
          <w:sz w:val="32"/>
          <w:szCs w:val="32"/>
        </w:rPr>
        <w:t>表</w:t>
      </w:r>
    </w:p>
    <w:tbl>
      <w:tblPr>
        <w:tblStyle w:val="3"/>
        <w:tblW w:w="9077" w:type="dxa"/>
        <w:tblInd w:w="-38" w:type="dxa"/>
        <w:tblLayout w:type="fixed"/>
        <w:tblCellMar>
          <w:top w:w="0" w:type="dxa"/>
          <w:left w:w="108" w:type="dxa"/>
          <w:bottom w:w="0" w:type="dxa"/>
          <w:right w:w="108" w:type="dxa"/>
        </w:tblCellMar>
      </w:tblPr>
      <w:tblGrid>
        <w:gridCol w:w="1279"/>
        <w:gridCol w:w="2373"/>
        <w:gridCol w:w="888"/>
        <w:gridCol w:w="1199"/>
        <w:gridCol w:w="1084"/>
        <w:gridCol w:w="1041"/>
        <w:gridCol w:w="1213"/>
      </w:tblGrid>
      <w:tr>
        <w:tblPrEx>
          <w:tblCellMar>
            <w:top w:w="0" w:type="dxa"/>
            <w:left w:w="108" w:type="dxa"/>
            <w:bottom w:w="0" w:type="dxa"/>
            <w:right w:w="108" w:type="dxa"/>
          </w:tblCellMar>
        </w:tblPrEx>
        <w:trPr>
          <w:trHeight w:val="609"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序号</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类别</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单位</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预估数量</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含税单价</w:t>
            </w:r>
            <w:r>
              <w:rPr>
                <w:rFonts w:ascii="宋体" w:eastAsia="宋体" w:cs="宋体"/>
                <w:b/>
                <w:bCs/>
                <w:color w:val="000000"/>
                <w:kern w:val="0"/>
                <w:sz w:val="22"/>
              </w:rPr>
              <w:t>(</w:t>
            </w:r>
            <w:r>
              <w:rPr>
                <w:rFonts w:hint="eastAsia" w:ascii="宋体" w:eastAsia="宋体" w:cs="宋体"/>
                <w:b/>
                <w:bCs/>
                <w:color w:val="000000"/>
                <w:kern w:val="0"/>
                <w:sz w:val="22"/>
              </w:rPr>
              <w:t>元</w:t>
            </w:r>
            <w:r>
              <w:rPr>
                <w:rFonts w:ascii="宋体" w:eastAsia="宋体" w:cs="宋体"/>
                <w:b/>
                <w:bCs/>
                <w:color w:val="000000"/>
                <w:kern w:val="0"/>
                <w:sz w:val="22"/>
              </w:rPr>
              <w:t>)</w:t>
            </w: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含税总价</w:t>
            </w:r>
            <w:r>
              <w:rPr>
                <w:rFonts w:ascii="宋体" w:eastAsia="宋体" w:cs="宋体"/>
                <w:b/>
                <w:bCs/>
                <w:color w:val="000000"/>
                <w:kern w:val="0"/>
                <w:sz w:val="22"/>
              </w:rPr>
              <w:t>(</w:t>
            </w:r>
            <w:r>
              <w:rPr>
                <w:rFonts w:hint="eastAsia" w:ascii="宋体" w:eastAsia="宋体" w:cs="宋体"/>
                <w:b/>
                <w:bCs/>
                <w:color w:val="000000"/>
                <w:kern w:val="0"/>
                <w:sz w:val="22"/>
              </w:rPr>
              <w:t>元</w:t>
            </w:r>
            <w:r>
              <w:rPr>
                <w:rFonts w:ascii="宋体" w:eastAsia="宋体" w:cs="宋体"/>
                <w:b/>
                <w:bCs/>
                <w:color w:val="000000"/>
                <w:kern w:val="0"/>
                <w:sz w:val="22"/>
              </w:rPr>
              <w:t>)</w:t>
            </w:r>
          </w:p>
        </w:tc>
        <w:tc>
          <w:tcPr>
            <w:tcW w:w="121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cs="等线"/>
                <w:b/>
                <w:bCs/>
                <w:color w:val="000000"/>
                <w:kern w:val="0"/>
                <w:sz w:val="22"/>
              </w:rPr>
            </w:pPr>
            <w:r>
              <w:rPr>
                <w:rFonts w:hint="eastAsia" w:cs="等线"/>
                <w:b/>
                <w:bCs/>
                <w:color w:val="000000"/>
                <w:kern w:val="0"/>
                <w:sz w:val="22"/>
              </w:rPr>
              <w:t>增值税税率（%）</w:t>
            </w: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寄达地广西区内同城（首重：元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43093</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single" w:color="auto" w:sz="6" w:space="0"/>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2</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寄达地广西区内同城（续重：元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12928</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3</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寄达地广西区内非同城（首重：元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23429</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4</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寄达地广西区内非同城（续重：元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7029</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897"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寄达地广西区外（</w:t>
            </w:r>
            <w:r>
              <w:rPr>
                <w:rFonts w:hint="eastAsia" w:ascii="宋体" w:eastAsia="宋体" w:cs="宋体"/>
                <w:color w:val="000000"/>
                <w:kern w:val="0"/>
                <w:sz w:val="22"/>
                <w:lang w:eastAsia="zh-CN"/>
              </w:rPr>
              <w:t>不含新疆、西藏</w:t>
            </w:r>
            <w:r>
              <w:rPr>
                <w:rFonts w:hint="eastAsia" w:ascii="宋体" w:eastAsia="宋体" w:cs="宋体"/>
                <w:color w:val="000000"/>
                <w:kern w:val="0"/>
                <w:sz w:val="22"/>
              </w:rPr>
              <w:t>）（首重：元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16484</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897"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6</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寄达地广西区外（</w:t>
            </w:r>
            <w:r>
              <w:rPr>
                <w:rFonts w:hint="eastAsia" w:ascii="宋体" w:eastAsia="宋体" w:cs="宋体"/>
                <w:color w:val="000000"/>
                <w:kern w:val="0"/>
                <w:sz w:val="22"/>
                <w:lang w:eastAsia="zh-CN"/>
              </w:rPr>
              <w:t>不含新疆、西藏</w:t>
            </w:r>
            <w:r>
              <w:rPr>
                <w:rFonts w:hint="eastAsia" w:ascii="宋体" w:eastAsia="宋体" w:cs="宋体"/>
                <w:color w:val="000000"/>
                <w:kern w:val="0"/>
                <w:sz w:val="22"/>
              </w:rPr>
              <w:t>）（续重：元</w:t>
            </w:r>
            <w:r>
              <w:rPr>
                <w:rFonts w:ascii="宋体" w:eastAsia="宋体" w:cs="宋体"/>
                <w:color w:val="000000"/>
                <w:kern w:val="0"/>
                <w:sz w:val="22"/>
              </w:rPr>
              <w:t>/</w:t>
            </w:r>
            <w:r>
              <w:rPr>
                <w:rFonts w:hint="eastAsia" w:ascii="宋体" w:cs="宋体"/>
                <w:color w:val="000000"/>
                <w:kern w:val="0"/>
                <w:sz w:val="22"/>
                <w:lang w:val="en-US" w:eastAsia="zh-CN"/>
              </w:rPr>
              <w:t>500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4945</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897" w:hRule="atLeast"/>
        </w:trPr>
        <w:tc>
          <w:tcPr>
            <w:tcW w:w="1279" w:type="dxa"/>
            <w:tcBorders>
              <w:top w:val="single" w:color="auto" w:sz="6" w:space="0"/>
              <w:left w:val="single" w:color="auto" w:sz="6" w:space="0"/>
              <w:bottom w:val="single" w:color="auto" w:sz="6" w:space="0"/>
              <w:right w:val="single" w:color="auto" w:sz="6" w:space="0"/>
            </w:tcBorders>
            <w:shd w:val="clear" w:color="auto" w:fill="auto"/>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7</w:t>
            </w:r>
          </w:p>
        </w:tc>
        <w:tc>
          <w:tcPr>
            <w:tcW w:w="2373" w:type="dxa"/>
            <w:tcBorders>
              <w:top w:val="single" w:color="auto" w:sz="6" w:space="0"/>
              <w:left w:val="single" w:color="auto" w:sz="6" w:space="0"/>
              <w:bottom w:val="single" w:color="auto" w:sz="6" w:space="0"/>
              <w:right w:val="single" w:color="auto" w:sz="6" w:space="0"/>
            </w:tcBorders>
            <w:shd w:val="solid" w:color="FFFFFF" w:fill="auto"/>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寄达地广西区外（</w:t>
            </w:r>
            <w:r>
              <w:rPr>
                <w:rFonts w:hint="eastAsia" w:ascii="宋体" w:eastAsia="宋体" w:cs="宋体"/>
                <w:color w:val="000000"/>
                <w:kern w:val="0"/>
                <w:sz w:val="22"/>
                <w:lang w:eastAsia="zh-CN"/>
              </w:rPr>
              <w:t>新疆、西藏</w:t>
            </w:r>
            <w:r>
              <w:rPr>
                <w:rFonts w:hint="eastAsia" w:ascii="宋体" w:eastAsia="宋体" w:cs="宋体"/>
                <w:color w:val="000000"/>
                <w:kern w:val="0"/>
                <w:sz w:val="22"/>
              </w:rPr>
              <w:t>）（首重：元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251</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897" w:hRule="atLeast"/>
        </w:trPr>
        <w:tc>
          <w:tcPr>
            <w:tcW w:w="1279" w:type="dxa"/>
            <w:tcBorders>
              <w:top w:val="single" w:color="auto" w:sz="6" w:space="0"/>
              <w:left w:val="single" w:color="auto" w:sz="6" w:space="0"/>
              <w:bottom w:val="single" w:color="auto" w:sz="6" w:space="0"/>
              <w:right w:val="single" w:color="auto" w:sz="6" w:space="0"/>
            </w:tcBorders>
            <w:shd w:val="clear" w:color="auto" w:fill="auto"/>
            <w:noWrap w:val="0"/>
            <w:vAlign w:val="top"/>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8</w:t>
            </w:r>
          </w:p>
        </w:tc>
        <w:tc>
          <w:tcPr>
            <w:tcW w:w="2373" w:type="dxa"/>
            <w:tcBorders>
              <w:top w:val="single" w:color="auto" w:sz="6" w:space="0"/>
              <w:left w:val="single" w:color="auto" w:sz="6" w:space="0"/>
              <w:bottom w:val="single" w:color="auto" w:sz="6" w:space="0"/>
              <w:right w:val="single" w:color="auto" w:sz="6" w:space="0"/>
            </w:tcBorders>
            <w:shd w:val="solid" w:color="FFFFFF" w:fill="auto"/>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寄达地广西区外（</w:t>
            </w:r>
            <w:r>
              <w:rPr>
                <w:rFonts w:hint="eastAsia" w:ascii="宋体" w:eastAsia="宋体" w:cs="宋体"/>
                <w:color w:val="000000"/>
                <w:kern w:val="0"/>
                <w:sz w:val="22"/>
                <w:lang w:eastAsia="zh-CN"/>
              </w:rPr>
              <w:t>新疆、西藏</w:t>
            </w:r>
            <w:r>
              <w:rPr>
                <w:rFonts w:hint="eastAsia" w:ascii="宋体" w:eastAsia="宋体" w:cs="宋体"/>
                <w:color w:val="000000"/>
                <w:kern w:val="0"/>
                <w:sz w:val="22"/>
              </w:rPr>
              <w:t>）（续重：元</w:t>
            </w:r>
            <w:r>
              <w:rPr>
                <w:rFonts w:ascii="宋体" w:eastAsia="宋体" w:cs="宋体"/>
                <w:color w:val="000000"/>
                <w:kern w:val="0"/>
                <w:sz w:val="22"/>
              </w:rPr>
              <w:t>/</w:t>
            </w:r>
            <w:r>
              <w:rPr>
                <w:rFonts w:hint="eastAsia" w:ascii="宋体" w:cs="宋体"/>
                <w:color w:val="000000"/>
                <w:kern w:val="0"/>
                <w:sz w:val="22"/>
                <w:lang w:val="en-US" w:eastAsia="zh-CN"/>
              </w:rPr>
              <w:t>500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75</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eastAsia="宋体" w:cs="宋体"/>
                <w:color w:val="000000"/>
                <w:kern w:val="0"/>
                <w:sz w:val="22"/>
                <w:lang w:eastAsia="zh-CN"/>
              </w:rPr>
            </w:pPr>
            <w:r>
              <w:rPr>
                <w:rFonts w:hint="eastAsia" w:ascii="宋体" w:eastAsia="宋体" w:cs="宋体"/>
                <w:color w:val="000000"/>
                <w:kern w:val="0"/>
                <w:sz w:val="22"/>
                <w:lang w:val="en-US" w:eastAsia="zh-CN"/>
              </w:rPr>
              <w:t>9</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寄达地港澳台及境外（首重：元</w:t>
            </w:r>
            <w:r>
              <w:rPr>
                <w:rFonts w:ascii="宋体" w:eastAsia="宋体" w:cs="宋体"/>
                <w:color w:val="000000"/>
                <w:kern w:val="0"/>
                <w:sz w:val="22"/>
              </w:rPr>
              <w:t>/1000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418</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10</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r>
              <w:rPr>
                <w:rFonts w:hint="eastAsia" w:ascii="宋体" w:eastAsia="宋体" w:cs="宋体"/>
                <w:color w:val="000000"/>
                <w:kern w:val="0"/>
                <w:sz w:val="22"/>
              </w:rPr>
              <w:t>寄达地港澳台及境外（续重：元</w:t>
            </w:r>
            <w:r>
              <w:rPr>
                <w:rFonts w:ascii="宋体" w:eastAsia="宋体" w:cs="宋体"/>
                <w:color w:val="000000"/>
                <w:kern w:val="0"/>
                <w:sz w:val="22"/>
              </w:rPr>
              <w:t>/</w:t>
            </w:r>
            <w:r>
              <w:rPr>
                <w:rFonts w:hint="eastAsia" w:ascii="宋体" w:cs="宋体"/>
                <w:color w:val="000000"/>
                <w:kern w:val="0"/>
                <w:sz w:val="22"/>
                <w:lang w:val="en-US" w:eastAsia="zh-CN"/>
              </w:rPr>
              <w:t>500</w:t>
            </w:r>
            <w:r>
              <w:rPr>
                <w:rFonts w:hint="eastAsia" w:ascii="宋体" w:eastAsia="宋体" w:cs="宋体"/>
                <w:color w:val="000000"/>
                <w:kern w:val="0"/>
                <w:sz w:val="22"/>
              </w:rPr>
              <w:t>克）</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元</w:t>
            </w:r>
            <w:r>
              <w:rPr>
                <w:rFonts w:ascii="宋体" w:eastAsia="宋体" w:cs="宋体"/>
                <w:color w:val="000000"/>
                <w:kern w:val="0"/>
                <w:sz w:val="22"/>
              </w:rPr>
              <w:t>/</w:t>
            </w:r>
            <w:r>
              <w:rPr>
                <w:rFonts w:hint="eastAsia" w:ascii="宋体" w:eastAsia="宋体" w:cs="宋体"/>
                <w:color w:val="000000"/>
                <w:kern w:val="0"/>
                <w:sz w:val="22"/>
              </w:rPr>
              <w:t>件</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126</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603" w:hRule="atLeast"/>
        </w:trPr>
        <w:tc>
          <w:tcPr>
            <w:tcW w:w="12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eastAsia="宋体" w:cs="宋体"/>
                <w:color w:val="000000"/>
                <w:kern w:val="0"/>
                <w:sz w:val="22"/>
                <w:lang w:val="en-US" w:eastAsia="zh-CN"/>
              </w:rPr>
            </w:pPr>
            <w:r>
              <w:rPr>
                <w:rFonts w:hint="eastAsia" w:ascii="宋体" w:eastAsia="宋体" w:cs="宋体"/>
                <w:color w:val="000000"/>
                <w:kern w:val="0"/>
                <w:sz w:val="22"/>
                <w:lang w:val="en-US" w:eastAsia="zh-CN"/>
              </w:rPr>
              <w:t>11</w:t>
            </w:r>
          </w:p>
        </w:tc>
        <w:tc>
          <w:tcPr>
            <w:tcW w:w="237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宋体" w:eastAsia="宋体" w:cs="宋体"/>
                <w:color w:val="000000"/>
                <w:kern w:val="0"/>
                <w:sz w:val="22"/>
              </w:rPr>
            </w:pPr>
            <w:r>
              <w:rPr>
                <w:rFonts w:hint="eastAsia" w:ascii="宋体" w:eastAsia="宋体" w:cs="宋体"/>
                <w:color w:val="000000"/>
                <w:kern w:val="0"/>
                <w:sz w:val="22"/>
              </w:rPr>
              <w:t>寄达地广西区内非同城个人贷款档案物</w:t>
            </w:r>
            <w:bookmarkStart w:id="0" w:name="_GoBack"/>
            <w:bookmarkEnd w:id="0"/>
            <w:r>
              <w:rPr>
                <w:rFonts w:hint="eastAsia" w:ascii="宋体" w:eastAsia="宋体" w:cs="宋体"/>
                <w:color w:val="000000"/>
                <w:kern w:val="0"/>
                <w:sz w:val="22"/>
              </w:rPr>
              <w:t>流配送</w:t>
            </w:r>
          </w:p>
        </w:tc>
        <w:tc>
          <w:tcPr>
            <w:tcW w:w="8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eastAsia="宋体" w:cs="宋体"/>
                <w:color w:val="000000"/>
                <w:kern w:val="0"/>
                <w:sz w:val="22"/>
                <w:lang w:eastAsia="zh-CN"/>
              </w:rPr>
            </w:pPr>
            <w:r>
              <w:rPr>
                <w:rFonts w:hint="eastAsia" w:ascii="宋体" w:eastAsia="宋体" w:cs="宋体"/>
                <w:color w:val="000000"/>
                <w:kern w:val="0"/>
                <w:sz w:val="22"/>
                <w:lang w:eastAsia="zh-CN"/>
              </w:rPr>
              <w:t>元</w:t>
            </w:r>
            <w:r>
              <w:rPr>
                <w:rFonts w:hint="eastAsia" w:ascii="宋体" w:eastAsia="宋体" w:cs="宋体"/>
                <w:color w:val="000000"/>
                <w:kern w:val="0"/>
                <w:sz w:val="22"/>
                <w:lang w:val="en-US" w:eastAsia="zh-CN"/>
              </w:rPr>
              <w:t>/</w:t>
            </w:r>
            <w:r>
              <w:rPr>
                <w:rFonts w:hint="eastAsia" w:ascii="宋体" w:eastAsia="宋体" w:cs="宋体"/>
                <w:color w:val="000000"/>
                <w:kern w:val="0"/>
                <w:sz w:val="22"/>
                <w:lang w:eastAsia="zh-CN"/>
              </w:rPr>
              <w:t>车</w:t>
            </w:r>
          </w:p>
        </w:tc>
        <w:tc>
          <w:tcPr>
            <w:tcW w:w="119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2</w:t>
            </w:r>
          </w:p>
        </w:tc>
        <w:tc>
          <w:tcPr>
            <w:tcW w:w="10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eastAsia="宋体" w:cs="宋体"/>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nil"/>
              <w:right w:val="single" w:color="auto" w:sz="6" w:space="0"/>
            </w:tcBorders>
            <w:noWrap w:val="0"/>
            <w:vAlign w:val="top"/>
          </w:tcPr>
          <w:p>
            <w:pPr>
              <w:autoSpaceDE w:val="0"/>
              <w:autoSpaceDN w:val="0"/>
              <w:adjustRightInd w:val="0"/>
              <w:jc w:val="center"/>
              <w:rPr>
                <w:rFonts w:cs="等线"/>
                <w:color w:val="000000"/>
                <w:kern w:val="0"/>
                <w:sz w:val="22"/>
              </w:rPr>
            </w:pPr>
          </w:p>
        </w:tc>
      </w:tr>
      <w:tr>
        <w:tblPrEx>
          <w:tblCellMar>
            <w:top w:w="0" w:type="dxa"/>
            <w:left w:w="108" w:type="dxa"/>
            <w:bottom w:w="0" w:type="dxa"/>
            <w:right w:w="108" w:type="dxa"/>
          </w:tblCellMar>
        </w:tblPrEx>
        <w:trPr>
          <w:trHeight w:val="481" w:hRule="atLeast"/>
        </w:trPr>
        <w:tc>
          <w:tcPr>
            <w:tcW w:w="1279" w:type="dxa"/>
            <w:tcBorders>
              <w:top w:val="single" w:color="auto" w:sz="6" w:space="0"/>
              <w:left w:val="single" w:color="auto" w:sz="6" w:space="0"/>
              <w:bottom w:val="single" w:color="auto" w:sz="6" w:space="0"/>
              <w:right w:val="nil"/>
            </w:tcBorders>
            <w:noWrap w:val="0"/>
            <w:vAlign w:val="top"/>
          </w:tcPr>
          <w:p>
            <w:pPr>
              <w:autoSpaceDE w:val="0"/>
              <w:autoSpaceDN w:val="0"/>
              <w:adjustRightInd w:val="0"/>
              <w:jc w:val="center"/>
              <w:rPr>
                <w:rFonts w:hint="eastAsia" w:ascii="宋体" w:eastAsia="宋体" w:cs="宋体"/>
                <w:b/>
                <w:bCs/>
                <w:color w:val="000000"/>
                <w:kern w:val="0"/>
                <w:sz w:val="22"/>
                <w:lang w:eastAsia="zh-CN"/>
              </w:rPr>
            </w:pPr>
            <w:r>
              <w:rPr>
                <w:rFonts w:hint="eastAsia" w:ascii="宋体" w:eastAsia="宋体" w:cs="宋体"/>
                <w:b/>
                <w:bCs/>
                <w:color w:val="000000"/>
                <w:kern w:val="0"/>
                <w:sz w:val="22"/>
              </w:rPr>
              <w:t>合计</w:t>
            </w:r>
            <w:r>
              <w:rPr>
                <w:rFonts w:hint="eastAsia" w:ascii="宋体" w:cs="宋体"/>
                <w:b/>
                <w:bCs/>
                <w:color w:val="000000"/>
                <w:kern w:val="0"/>
                <w:sz w:val="22"/>
                <w:lang w:eastAsia="zh-CN"/>
              </w:rPr>
              <w:t>（不计续重数量）</w:t>
            </w:r>
          </w:p>
        </w:tc>
        <w:tc>
          <w:tcPr>
            <w:tcW w:w="2373" w:type="dxa"/>
            <w:tcBorders>
              <w:top w:val="single" w:color="auto" w:sz="6" w:space="0"/>
              <w:left w:val="nil"/>
              <w:bottom w:val="single" w:color="auto" w:sz="6" w:space="0"/>
              <w:right w:val="nil"/>
            </w:tcBorders>
            <w:noWrap w:val="0"/>
            <w:vAlign w:val="top"/>
          </w:tcPr>
          <w:p>
            <w:pPr>
              <w:autoSpaceDE w:val="0"/>
              <w:autoSpaceDN w:val="0"/>
              <w:adjustRightInd w:val="0"/>
              <w:rPr>
                <w:rFonts w:hint="eastAsia" w:ascii="宋体" w:eastAsia="宋体" w:cs="宋体"/>
                <w:b/>
                <w:bCs/>
                <w:color w:val="000000"/>
                <w:kern w:val="0"/>
                <w:sz w:val="22"/>
              </w:rPr>
            </w:pPr>
          </w:p>
        </w:tc>
        <w:tc>
          <w:tcPr>
            <w:tcW w:w="888" w:type="dxa"/>
            <w:tcBorders>
              <w:top w:val="single" w:color="auto" w:sz="6" w:space="0"/>
              <w:left w:val="nil"/>
              <w:bottom w:val="single" w:color="auto" w:sz="6" w:space="0"/>
              <w:right w:val="nil"/>
            </w:tcBorders>
            <w:noWrap w:val="0"/>
            <w:vAlign w:val="top"/>
          </w:tcPr>
          <w:p>
            <w:pPr>
              <w:autoSpaceDE w:val="0"/>
              <w:autoSpaceDN w:val="0"/>
              <w:adjustRightInd w:val="0"/>
              <w:jc w:val="center"/>
              <w:rPr>
                <w:rFonts w:ascii="宋体" w:eastAsia="宋体" w:cs="宋体"/>
                <w:b/>
                <w:bCs/>
                <w:color w:val="000000"/>
                <w:kern w:val="0"/>
                <w:sz w:val="22"/>
              </w:rPr>
            </w:pPr>
          </w:p>
        </w:tc>
        <w:tc>
          <w:tcPr>
            <w:tcW w:w="1199" w:type="dxa"/>
            <w:tcBorders>
              <w:top w:val="single" w:color="auto" w:sz="6" w:space="0"/>
              <w:left w:val="nil"/>
              <w:bottom w:val="single" w:color="auto" w:sz="6" w:space="0"/>
              <w:right w:val="nil"/>
            </w:tcBorders>
            <w:noWrap w:val="0"/>
            <w:vAlign w:val="top"/>
          </w:tcPr>
          <w:p>
            <w:pPr>
              <w:autoSpaceDE w:val="0"/>
              <w:autoSpaceDN w:val="0"/>
              <w:adjustRightInd w:val="0"/>
              <w:jc w:val="center"/>
              <w:rPr>
                <w:rFonts w:hint="default" w:ascii="宋体" w:eastAsia="宋体" w:cs="宋体"/>
                <w:b/>
                <w:bCs/>
                <w:color w:val="000000"/>
                <w:kern w:val="0"/>
                <w:sz w:val="22"/>
                <w:lang w:val="en-US" w:eastAsia="zh-CN"/>
              </w:rPr>
            </w:pPr>
            <w:r>
              <w:rPr>
                <w:rFonts w:hint="eastAsia" w:ascii="宋体" w:cs="宋体"/>
                <w:b/>
                <w:bCs/>
                <w:color w:val="000000"/>
                <w:kern w:val="0"/>
                <w:sz w:val="22"/>
                <w:lang w:val="en-US" w:eastAsia="zh-CN"/>
              </w:rPr>
              <w:t>83677</w:t>
            </w:r>
          </w:p>
        </w:tc>
        <w:tc>
          <w:tcPr>
            <w:tcW w:w="1084" w:type="dxa"/>
            <w:tcBorders>
              <w:top w:val="single" w:color="auto" w:sz="6" w:space="0"/>
              <w:left w:val="nil"/>
              <w:bottom w:val="single" w:color="auto" w:sz="6" w:space="0"/>
              <w:right w:val="single" w:color="auto" w:sz="6" w:space="0"/>
            </w:tcBorders>
            <w:noWrap w:val="0"/>
            <w:vAlign w:val="top"/>
          </w:tcPr>
          <w:p>
            <w:pPr>
              <w:autoSpaceDE w:val="0"/>
              <w:autoSpaceDN w:val="0"/>
              <w:adjustRightInd w:val="0"/>
              <w:jc w:val="center"/>
              <w:rPr>
                <w:rFonts w:ascii="宋体" w:eastAsia="宋体" w:cs="宋体"/>
                <w:b/>
                <w:bCs/>
                <w:color w:val="000000"/>
                <w:kern w:val="0"/>
                <w:sz w:val="22"/>
              </w:rPr>
            </w:pPr>
          </w:p>
        </w:tc>
        <w:tc>
          <w:tcPr>
            <w:tcW w:w="104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right"/>
              <w:rPr>
                <w:rFonts w:cs="等线"/>
                <w:color w:val="000000"/>
                <w:kern w:val="0"/>
                <w:sz w:val="22"/>
              </w:rPr>
            </w:pPr>
          </w:p>
        </w:tc>
        <w:tc>
          <w:tcPr>
            <w:tcW w:w="1213" w:type="dxa"/>
            <w:tcBorders>
              <w:top w:val="nil"/>
              <w:left w:val="single" w:color="auto" w:sz="6" w:space="0"/>
              <w:bottom w:val="single" w:color="auto" w:sz="6" w:space="0"/>
              <w:right w:val="single" w:color="auto" w:sz="6" w:space="0"/>
            </w:tcBorders>
            <w:noWrap w:val="0"/>
            <w:vAlign w:val="top"/>
          </w:tcPr>
          <w:p>
            <w:pPr>
              <w:autoSpaceDE w:val="0"/>
              <w:autoSpaceDN w:val="0"/>
              <w:adjustRightInd w:val="0"/>
              <w:jc w:val="center"/>
              <w:rPr>
                <w:rFonts w:cs="等线"/>
                <w:color w:val="000000"/>
                <w:kern w:val="0"/>
                <w:sz w:val="22"/>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供应商通过自身配送管理系统对物品信息进行实时跟踪，应做到随时可以掌握物品和资料的配送情况（诸如：在途、已签收等）。同时，供应商应通过多种方式向我行提供实时查询服务（通过邮件号码查询邮件物流轨迹和签收情况）。双方设立收件人热线，提供优质服务，解决收件人关于领取相关事宜的查询服务。对收件人提出的与配送有关问题的查询或投诉，供应商应及时、积极、主动处理、解决或配合甲方共同处理、解决。</w:t>
      </w:r>
    </w:p>
    <w:p>
      <w:pPr>
        <w:rPr>
          <w:rFonts w:ascii="Calibri" w:hAnsi="Calibri" w:eastAsia="宋体" w:cs="黑体"/>
        </w:rPr>
      </w:pP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B2BB"/>
    <w:multiLevelType w:val="singleLevel"/>
    <w:tmpl w:val="EFFEB2BB"/>
    <w:lvl w:ilvl="0" w:tentative="0">
      <w:start w:val="4"/>
      <w:numFmt w:val="chineseCounting"/>
      <w:suff w:val="nothing"/>
      <w:lvlText w:val="%1、"/>
      <w:lvlJc w:val="left"/>
      <w:rPr>
        <w:rFonts w:hint="eastAsia"/>
        <w:color w:val="auto"/>
      </w:rPr>
    </w:lvl>
  </w:abstractNum>
  <w:abstractNum w:abstractNumId="1">
    <w:nsid w:val="2B3FC922"/>
    <w:multiLevelType w:val="singleLevel"/>
    <w:tmpl w:val="2B3FC922"/>
    <w:lvl w:ilvl="0" w:tentative="0">
      <w:start w:val="5"/>
      <w:numFmt w:val="chineseCounting"/>
      <w:suff w:val="nothing"/>
      <w:lvlText w:val="（%1）"/>
      <w:lvlJc w:val="left"/>
      <w:rPr>
        <w:rFonts w:hint="eastAsia"/>
      </w:rPr>
    </w:lvl>
  </w:abstractNum>
  <w:abstractNum w:abstractNumId="2">
    <w:nsid w:val="5FDA31D9"/>
    <w:multiLevelType w:val="singleLevel"/>
    <w:tmpl w:val="5FDA31D9"/>
    <w:lvl w:ilvl="0" w:tentative="0">
      <w:start w:val="1"/>
      <w:numFmt w:val="chineseCounting"/>
      <w:suff w:val="nothing"/>
      <w:lvlText w:val="%1、"/>
      <w:lvlJc w:val="left"/>
      <w:rPr>
        <w:rFonts w:hint="eastAsia"/>
        <w:color w:val="auto"/>
      </w:rPr>
    </w:lvl>
  </w:abstractNum>
  <w:abstractNum w:abstractNumId="3">
    <w:nsid w:val="76BF2F4E"/>
    <w:multiLevelType w:val="singleLevel"/>
    <w:tmpl w:val="76BF2F4E"/>
    <w:lvl w:ilvl="0" w:tentative="0">
      <w:start w:val="9"/>
      <w:numFmt w:val="chineseCounting"/>
      <w:suff w:val="nothing"/>
      <w:lvlText w:val="%1、"/>
      <w:lvlJc w:val="left"/>
      <w:rPr>
        <w:rFonts w:hint="eastAsia"/>
        <w:color w:val="auto"/>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21122D"/>
    <w:rsid w:val="00034676"/>
    <w:rsid w:val="0021122D"/>
    <w:rsid w:val="003549BA"/>
    <w:rsid w:val="00504383"/>
    <w:rsid w:val="005A522D"/>
    <w:rsid w:val="006D1D1D"/>
    <w:rsid w:val="009B7FAB"/>
    <w:rsid w:val="00AC4786"/>
    <w:rsid w:val="00C24DDA"/>
    <w:rsid w:val="00C314B9"/>
    <w:rsid w:val="00CE62D6"/>
    <w:rsid w:val="259BD7E0"/>
    <w:rsid w:val="36FCEB02"/>
    <w:rsid w:val="375D226D"/>
    <w:rsid w:val="37DA472E"/>
    <w:rsid w:val="3F94CBAF"/>
    <w:rsid w:val="3FFDFDEA"/>
    <w:rsid w:val="4E230CD8"/>
    <w:rsid w:val="50FFE594"/>
    <w:rsid w:val="55E7F6D4"/>
    <w:rsid w:val="57EEA56F"/>
    <w:rsid w:val="5DFCC646"/>
    <w:rsid w:val="5EB5CFEE"/>
    <w:rsid w:val="5FCF06B9"/>
    <w:rsid w:val="65CC9959"/>
    <w:rsid w:val="72736ADC"/>
    <w:rsid w:val="75CFAD53"/>
    <w:rsid w:val="75DF7A0F"/>
    <w:rsid w:val="7BE7C709"/>
    <w:rsid w:val="7BF39138"/>
    <w:rsid w:val="7DB152C4"/>
    <w:rsid w:val="7EBB9C2A"/>
    <w:rsid w:val="7F3DF878"/>
    <w:rsid w:val="7F5BAB43"/>
    <w:rsid w:val="7FDDAF32"/>
    <w:rsid w:val="9FDF374D"/>
    <w:rsid w:val="A6A74624"/>
    <w:rsid w:val="B31BB1F7"/>
    <w:rsid w:val="B7FBAFAB"/>
    <w:rsid w:val="B9C76938"/>
    <w:rsid w:val="CFEFC130"/>
    <w:rsid w:val="CFF7EC78"/>
    <w:rsid w:val="DEF299C1"/>
    <w:rsid w:val="DF9F155E"/>
    <w:rsid w:val="DFDF1498"/>
    <w:rsid w:val="DFF7CD63"/>
    <w:rsid w:val="E2F440A0"/>
    <w:rsid w:val="EBF120D1"/>
    <w:rsid w:val="EFBCE4B7"/>
    <w:rsid w:val="EFEE3600"/>
    <w:rsid w:val="F6FE9C54"/>
    <w:rsid w:val="F7DE132D"/>
    <w:rsid w:val="F7F713D2"/>
    <w:rsid w:val="F7FF918F"/>
    <w:rsid w:val="F95D8C12"/>
    <w:rsid w:val="FD0E75F2"/>
    <w:rsid w:val="FE7D128A"/>
    <w:rsid w:val="FF7F7E17"/>
    <w:rsid w:val="FFEFB3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eastAsia="宋体" w:cs="Times New Roman"/>
      <w:kern w:val="0"/>
      <w:sz w:val="20"/>
      <w:szCs w:val="21"/>
    </w:rPr>
  </w:style>
  <w:style w:type="character" w:styleId="5">
    <w:name w:val="Strong"/>
    <w:basedOn w:val="4"/>
    <w:qFormat/>
    <w:uiPriority w:val="22"/>
    <w:rPr>
      <w:b/>
    </w:rPr>
  </w:style>
  <w:style w:type="character" w:customStyle="1" w:styleId="6">
    <w:name w:val="纯文本 字符"/>
    <w:link w:val="2"/>
    <w:qFormat/>
    <w:uiPriority w:val="0"/>
    <w:rPr>
      <w:rFonts w:ascii="宋体" w:hAnsi="Courier New" w:eastAsia="宋体" w:cs="Times New Roman"/>
      <w:kern w:val="0"/>
      <w:sz w:val="2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646</Words>
  <Characters>3687</Characters>
  <Lines>30</Lines>
  <Paragraphs>8</Paragraphs>
  <TotalTime>478</TotalTime>
  <ScaleCrop>false</ScaleCrop>
  <LinksUpToDate>false</LinksUpToDate>
  <CharactersWithSpaces>4325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2025-12-02T00:55:00Z</dcterms:created>
  <dc:creator>Apache POI</dc:creator>
  <cp:lastModifiedBy>ccb</cp:lastModifiedBy>
  <cp:lastPrinted>2025-12-08T17:57:58Z</cp:lastPrinted>
  <dcterms:modified xsi:type="dcterms:W3CDTF">2025-12-09T19:57:56Z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036D946E2645458B3DEC306982D258B0_43</vt:lpwstr>
  </property>
</Properties>
</file>