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粗仿宋" w:hAnsi="宋体" w:eastAsia="彩虹粗仿宋" w:cs="Times New Roman"/>
          <w:b/>
          <w:snapToGrid w:val="0"/>
          <w:kern w:val="0"/>
          <w:sz w:val="44"/>
          <w:szCs w:val="44"/>
        </w:rPr>
      </w:pPr>
      <w:r>
        <w:rPr>
          <w:rFonts w:hint="eastAsia" w:ascii="彩虹粗仿宋" w:hAnsi="宋体" w:eastAsia="彩虹粗仿宋" w:cs="Times New Roman"/>
          <w:b/>
          <w:snapToGrid w:val="0"/>
          <w:kern w:val="0"/>
          <w:sz w:val="44"/>
          <w:szCs w:val="44"/>
        </w:rPr>
        <w:t>202</w:t>
      </w:r>
      <w:r>
        <w:rPr>
          <w:rFonts w:hint="eastAsia" w:ascii="彩虹粗仿宋" w:hAnsi="宋体" w:eastAsia="彩虹粗仿宋" w:cs="Times New Roman"/>
          <w:b/>
          <w:snapToGrid w:val="0"/>
          <w:kern w:val="0"/>
          <w:sz w:val="44"/>
          <w:szCs w:val="44"/>
          <w:lang w:val="en-US" w:eastAsia="zh-CN"/>
        </w:rPr>
        <w:t>6-2027</w:t>
      </w:r>
      <w:r>
        <w:rPr>
          <w:rFonts w:hint="eastAsia" w:ascii="彩虹粗仿宋" w:hAnsi="宋体" w:eastAsia="彩虹粗仿宋" w:cs="Times New Roman"/>
          <w:b/>
          <w:snapToGrid w:val="0"/>
          <w:kern w:val="0"/>
          <w:sz w:val="44"/>
          <w:szCs w:val="44"/>
        </w:rPr>
        <w:t>年</w:t>
      </w:r>
      <w:r>
        <w:rPr>
          <w:rFonts w:hint="eastAsia" w:ascii="彩虹粗仿宋" w:hAnsi="宋体" w:eastAsia="彩虹粗仿宋" w:cs="Times New Roman"/>
          <w:b/>
          <w:snapToGrid w:val="0"/>
          <w:kern w:val="0"/>
          <w:sz w:val="44"/>
          <w:szCs w:val="44"/>
          <w:lang w:eastAsia="zh-CN"/>
        </w:rPr>
        <w:t>贵港</w:t>
      </w:r>
      <w:r>
        <w:rPr>
          <w:rFonts w:hint="eastAsia" w:ascii="彩虹粗仿宋" w:hAnsi="宋体" w:eastAsia="彩虹粗仿宋" w:cs="Times New Roman"/>
          <w:b/>
          <w:snapToGrid w:val="0"/>
          <w:kern w:val="0"/>
          <w:sz w:val="44"/>
          <w:szCs w:val="44"/>
        </w:rPr>
        <w:t>分行员工食堂餐饮服务</w:t>
      </w:r>
    </w:p>
    <w:p>
      <w:pPr>
        <w:adjustRightInd w:val="0"/>
        <w:snapToGrid w:val="0"/>
        <w:spacing w:line="360" w:lineRule="auto"/>
        <w:jc w:val="center"/>
        <w:rPr>
          <w:rFonts w:ascii="彩虹粗仿宋" w:hAnsi="宋体" w:eastAsia="彩虹粗仿宋" w:cs="Times New Roman"/>
          <w:b/>
          <w:snapToGrid w:val="0"/>
          <w:kern w:val="0"/>
          <w:sz w:val="44"/>
          <w:szCs w:val="44"/>
        </w:rPr>
      </w:pPr>
      <w:r>
        <w:rPr>
          <w:rFonts w:hint="eastAsia" w:ascii="彩虹粗仿宋" w:hAnsi="宋体" w:eastAsia="彩虹粗仿宋" w:cs="Times New Roman"/>
          <w:b/>
          <w:snapToGrid w:val="0"/>
          <w:kern w:val="0"/>
          <w:sz w:val="44"/>
          <w:szCs w:val="44"/>
        </w:rPr>
        <w:t>采购需求</w:t>
      </w:r>
    </w:p>
    <w:p>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一、服务内容</w:t>
      </w:r>
    </w:p>
    <w:p>
      <w:pPr>
        <w:adjustRightInd w:val="0"/>
        <w:snapToGrid w:val="0"/>
        <w:spacing w:line="360" w:lineRule="auto"/>
        <w:ind w:firstLine="640" w:firstLineChars="200"/>
        <w:rPr>
          <w:rFonts w:ascii="彩虹粗仿宋" w:eastAsia="彩虹粗仿宋"/>
          <w:sz w:val="32"/>
          <w:szCs w:val="32"/>
        </w:rPr>
      </w:pPr>
      <w:r>
        <w:rPr>
          <w:rFonts w:hint="eastAsia" w:ascii="彩虹粗仿宋" w:eastAsia="彩虹粗仿宋"/>
          <w:sz w:val="32"/>
          <w:szCs w:val="32"/>
        </w:rPr>
        <w:t>本次采购的员工食堂餐饮服务包括</w:t>
      </w:r>
      <w:r>
        <w:rPr>
          <w:rFonts w:hint="eastAsia" w:ascii="彩虹粗仿宋" w:eastAsia="彩虹粗仿宋"/>
          <w:sz w:val="32"/>
          <w:szCs w:val="32"/>
          <w:lang w:eastAsia="zh-CN"/>
        </w:rPr>
        <w:t>贵港</w:t>
      </w:r>
      <w:r>
        <w:rPr>
          <w:rFonts w:hint="eastAsia" w:ascii="彩虹粗仿宋" w:eastAsia="彩虹粗仿宋"/>
          <w:sz w:val="32"/>
          <w:szCs w:val="32"/>
        </w:rPr>
        <w:t>分行本部及县支行。供应商负责做好食堂的管理和服务工作，合同期限</w:t>
      </w:r>
      <w:r>
        <w:rPr>
          <w:rFonts w:hint="eastAsia" w:ascii="彩虹粗仿宋" w:eastAsia="彩虹粗仿宋"/>
          <w:sz w:val="32"/>
          <w:szCs w:val="32"/>
          <w:lang w:val="en-US" w:eastAsia="zh-CN"/>
        </w:rPr>
        <w:t>2</w:t>
      </w:r>
      <w:r>
        <w:rPr>
          <w:rFonts w:hint="eastAsia" w:ascii="彩虹粗仿宋" w:eastAsia="彩虹粗仿宋"/>
          <w:sz w:val="32"/>
          <w:szCs w:val="32"/>
        </w:rPr>
        <w:t>年。本项目采取经营外包模式。菜价包含食材成本+耗材成本，餐饮服务所产生的服务成本由</w:t>
      </w:r>
      <w:r>
        <w:rPr>
          <w:rFonts w:hint="eastAsia" w:ascii="彩虹粗仿宋" w:eastAsia="彩虹粗仿宋"/>
          <w:sz w:val="32"/>
          <w:szCs w:val="32"/>
          <w:lang w:eastAsia="zh-CN"/>
        </w:rPr>
        <w:t>贵港</w:t>
      </w:r>
      <w:r>
        <w:rPr>
          <w:rFonts w:hint="eastAsia" w:ascii="彩虹粗仿宋" w:eastAsia="彩虹粗仿宋"/>
          <w:sz w:val="32"/>
          <w:szCs w:val="32"/>
        </w:rPr>
        <w:t>分行支付。本次采购以服务成本作为竞标的价格指标。</w:t>
      </w:r>
    </w:p>
    <w:p>
      <w:pPr>
        <w:adjustRightInd w:val="0"/>
        <w:snapToGrid w:val="0"/>
        <w:spacing w:line="360" w:lineRule="auto"/>
        <w:ind w:firstLine="643" w:firstLineChars="200"/>
        <w:rPr>
          <w:rFonts w:ascii="彩虹粗仿宋" w:eastAsia="彩虹粗仿宋"/>
          <w:b/>
          <w:sz w:val="32"/>
          <w:szCs w:val="32"/>
        </w:rPr>
      </w:pPr>
      <w:r>
        <w:rPr>
          <w:rFonts w:hint="eastAsia" w:ascii="彩虹粗仿宋" w:eastAsia="彩虹粗仿宋"/>
          <w:b/>
          <w:sz w:val="32"/>
          <w:szCs w:val="32"/>
        </w:rPr>
        <w:t>服务内容具体如下：</w:t>
      </w:r>
    </w:p>
    <w:p>
      <w:pPr>
        <w:adjustRightInd w:val="0"/>
        <w:snapToGrid w:val="0"/>
        <w:spacing w:line="360" w:lineRule="auto"/>
        <w:ind w:firstLine="640" w:firstLineChars="200"/>
        <w:rPr>
          <w:rFonts w:ascii="彩虹粗仿宋" w:hAnsi="彩虹粗仿宋" w:eastAsia="彩虹粗仿宋" w:cs="Times New Roman"/>
          <w:sz w:val="32"/>
          <w:szCs w:val="32"/>
        </w:rPr>
      </w:pPr>
      <w:r>
        <w:rPr>
          <w:rFonts w:hint="eastAsia" w:ascii="彩虹粗仿宋" w:eastAsia="彩虹粗仿宋"/>
          <w:sz w:val="32"/>
          <w:szCs w:val="32"/>
        </w:rPr>
        <w:t>供应商负责做好</w:t>
      </w:r>
      <w:r>
        <w:rPr>
          <w:rFonts w:hint="eastAsia" w:ascii="彩虹粗仿宋" w:eastAsia="彩虹粗仿宋"/>
          <w:sz w:val="32"/>
          <w:szCs w:val="32"/>
          <w:lang w:eastAsia="zh-CN"/>
        </w:rPr>
        <w:t>贵港</w:t>
      </w:r>
      <w:r>
        <w:rPr>
          <w:rFonts w:hint="eastAsia" w:ascii="彩虹粗仿宋" w:eastAsia="彩虹粗仿宋"/>
          <w:sz w:val="32"/>
          <w:szCs w:val="32"/>
        </w:rPr>
        <w:t>分行食堂(包括本级及县支行)区域的所有管理和服务工作，包括但不限于：1. 餐饮服务（包括</w:t>
      </w:r>
      <w:r>
        <w:rPr>
          <w:rFonts w:hint="eastAsia" w:ascii="彩虹粗仿宋" w:eastAsia="彩虹粗仿宋"/>
          <w:sz w:val="32"/>
          <w:szCs w:val="32"/>
          <w:lang w:eastAsia="zh-CN"/>
        </w:rPr>
        <w:t>贵港</w:t>
      </w:r>
      <w:r>
        <w:rPr>
          <w:rFonts w:hint="eastAsia" w:ascii="彩虹粗仿宋" w:eastAsia="彩虹粗仿宋"/>
          <w:sz w:val="32"/>
          <w:szCs w:val="32"/>
        </w:rPr>
        <w:t>分行员工工作日早、中、晚餐，日常及节假日接待用餐，午餐打包配送服务及其他涉及餐饮服务的工作等），供应商提供服务团队并负责食堂日常维护运营管理。餐饮服务所产生的劳务成本由我行支付。2.食堂的食品生产加工必需的物资、原材料采购；食品原材料、消耗品及食堂配套物资验收保管；食品调配、食品成品操作。3.食堂设备设施和配套设备设施维护保养；下水道清理、油烟机清理等。4.餐饮具及器具消毒和保管保洁；食堂环境卫生清洁、垃圾处理；服务区域的安全管理及防疫卫生安全等工作。5.食堂小卖部经管管理服务。</w:t>
      </w:r>
    </w:p>
    <w:p>
      <w:pPr>
        <w:adjustRightInd w:val="0"/>
        <w:snapToGrid w:val="0"/>
        <w:spacing w:line="360" w:lineRule="auto"/>
        <w:ind w:firstLine="643" w:firstLineChars="200"/>
        <w:rPr>
          <w:rFonts w:ascii="彩虹楷体" w:eastAsia="彩虹楷体"/>
          <w:b/>
          <w:sz w:val="32"/>
          <w:szCs w:val="32"/>
        </w:rPr>
      </w:pPr>
      <w:r>
        <w:rPr>
          <w:rFonts w:hint="eastAsia" w:ascii="彩虹楷体" w:eastAsia="彩虹楷体"/>
          <w:b/>
          <w:sz w:val="32"/>
          <w:szCs w:val="32"/>
        </w:rPr>
        <w:t>二、运营模式</w:t>
      </w:r>
    </w:p>
    <w:p>
      <w:pPr>
        <w:adjustRightInd w:val="0"/>
        <w:snapToGrid w:val="0"/>
        <w:spacing w:line="360" w:lineRule="auto"/>
        <w:ind w:firstLine="640" w:firstLineChars="200"/>
        <w:rPr>
          <w:rFonts w:ascii="彩虹粗仿宋" w:hAnsi="等线" w:eastAsia="彩虹粗仿宋" w:cs="Times New Roman"/>
          <w:sz w:val="32"/>
          <w:szCs w:val="32"/>
        </w:rPr>
      </w:pPr>
      <w:r>
        <w:rPr>
          <w:rFonts w:hint="eastAsia" w:ascii="彩虹粗仿宋" w:hAnsi="等线" w:eastAsia="彩虹粗仿宋" w:cs="Times New Roman"/>
          <w:sz w:val="32"/>
          <w:szCs w:val="32"/>
        </w:rPr>
        <w:t>采取“服务外包+食堂经营外包”方式运营。具体如下：</w:t>
      </w:r>
    </w:p>
    <w:p>
      <w:pPr>
        <w:adjustRightInd w:val="0"/>
        <w:snapToGrid w:val="0"/>
        <w:spacing w:line="360" w:lineRule="auto"/>
        <w:ind w:firstLine="640" w:firstLineChars="200"/>
        <w:rPr>
          <w:rFonts w:ascii="彩虹粗仿宋" w:hAnsi="等线" w:eastAsia="彩虹粗仿宋" w:cs="Times New Roman"/>
          <w:sz w:val="32"/>
          <w:szCs w:val="32"/>
        </w:rPr>
      </w:pPr>
      <w:r>
        <w:rPr>
          <w:rFonts w:hint="eastAsia" w:ascii="彩虹粗仿宋" w:hAnsi="等线" w:eastAsia="彩虹粗仿宋" w:cs="Times New Roman"/>
          <w:sz w:val="32"/>
          <w:szCs w:val="32"/>
        </w:rPr>
        <w:t>1.服务外包。</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分行采购供应商服务，</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分行支付服务费（包括服务团队的所有人力成本、税金、供应商管理费等）。服务由供应商提供并负责食堂日常运营管理。</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分行负责提供餐饮服务场地、餐厅的冷柜、冰箱、消毒柜等食堂必要的设备设施,并负责上述设备设施的正常维修和更新，负责餐饮服务所产生的水电费。</w:t>
      </w:r>
    </w:p>
    <w:p>
      <w:pPr>
        <w:adjustRightInd w:val="0"/>
        <w:snapToGrid w:val="0"/>
        <w:spacing w:line="360" w:lineRule="auto"/>
        <w:ind w:firstLine="640" w:firstLineChars="200"/>
        <w:rPr>
          <w:rFonts w:ascii="彩虹粗仿宋" w:hAnsi="等线" w:eastAsia="彩虹粗仿宋" w:cs="Times New Roman"/>
          <w:sz w:val="32"/>
          <w:szCs w:val="32"/>
        </w:rPr>
      </w:pPr>
      <w:r>
        <w:rPr>
          <w:rFonts w:hint="eastAsia" w:ascii="彩虹粗仿宋" w:hAnsi="等线" w:eastAsia="彩虹粗仿宋" w:cs="Times New Roman"/>
          <w:sz w:val="32"/>
          <w:szCs w:val="32"/>
        </w:rPr>
        <w:t>2.食材采购、线下小卖部以及食品原材料、产成品、消耗品的验收和存储管理，服务各环节的核算管理由供应商负责，</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分行不再自行采购。</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分行对成品菜价进行约束、监管，并对食品安全进行检查和监督。供应商先垫支</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分行食堂日常运营成本，通过收取</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员工在食堂实际支出的餐食费用后冲抵成本，餐饮服务过程中所产生的食品原料费、清洁费、食堂智慧系统设备费、网银转账费、食品安全险费、税费、相关证件办理费用及国家行业规定必须交纳的各种费用、线下小卖部等食堂日常维护运营管理成本支出均由供应商负责，并自负盈亏。菜价包含食材成本+耗材成本（纸巾、筷子、餐盒等）。</w:t>
      </w:r>
    </w:p>
    <w:p>
      <w:pPr>
        <w:adjustRightInd w:val="0"/>
        <w:snapToGrid w:val="0"/>
        <w:spacing w:line="360" w:lineRule="auto"/>
        <w:ind w:firstLine="640" w:firstLineChars="200"/>
        <w:rPr>
          <w:rFonts w:ascii="彩虹粗仿宋" w:hAnsi="等线" w:eastAsia="彩虹粗仿宋" w:cs="Times New Roman"/>
          <w:sz w:val="32"/>
          <w:szCs w:val="32"/>
        </w:rPr>
      </w:pPr>
      <w:r>
        <w:rPr>
          <w:rFonts w:hint="eastAsia" w:ascii="彩虹粗仿宋" w:hAnsi="等线" w:eastAsia="彩虹粗仿宋" w:cs="Times New Roman"/>
          <w:sz w:val="32"/>
          <w:szCs w:val="32"/>
        </w:rPr>
        <w:t>3.企业管理费上限不得超过</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分行支付服务费用的10%（不含）。</w:t>
      </w:r>
    </w:p>
    <w:p>
      <w:pPr>
        <w:adjustRightInd w:val="0"/>
        <w:snapToGrid w:val="0"/>
        <w:spacing w:line="360" w:lineRule="auto"/>
        <w:ind w:firstLine="640" w:firstLineChars="200"/>
        <w:rPr>
          <w:rFonts w:ascii="彩虹粗仿宋" w:hAnsi="等线" w:eastAsia="彩虹粗仿宋" w:cs="Times New Roman"/>
          <w:sz w:val="32"/>
          <w:szCs w:val="32"/>
        </w:rPr>
      </w:pPr>
      <w:r>
        <w:rPr>
          <w:rFonts w:hint="eastAsia" w:ascii="彩虹粗仿宋" w:hAnsi="等线" w:eastAsia="彩虹粗仿宋" w:cs="Times New Roman"/>
          <w:sz w:val="32"/>
          <w:szCs w:val="32"/>
        </w:rPr>
        <w:t>4.供应商与</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分行签订《安全生产责任书》（包括品安全、燃气安全、用电、用水安全），自觉做好食堂安全生产的各项工作，指定专人负责食堂安全生产工作，与</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分行对接食堂安全生产相关事项。</w:t>
      </w:r>
    </w:p>
    <w:p>
      <w:pPr>
        <w:adjustRightInd w:val="0"/>
        <w:snapToGrid w:val="0"/>
        <w:spacing w:line="360" w:lineRule="auto"/>
        <w:ind w:firstLine="640" w:firstLineChars="200"/>
        <w:rPr>
          <w:rFonts w:ascii="彩虹粗仿宋" w:hAnsi="等线" w:eastAsia="彩虹粗仿宋" w:cs="Times New Roman"/>
          <w:sz w:val="32"/>
          <w:szCs w:val="32"/>
        </w:rPr>
      </w:pPr>
      <w:r>
        <w:rPr>
          <w:rFonts w:hint="eastAsia" w:ascii="彩虹粗仿宋" w:hAnsi="等线" w:eastAsia="彩虹粗仿宋" w:cs="Times New Roman"/>
          <w:sz w:val="32"/>
          <w:szCs w:val="32"/>
        </w:rPr>
        <w:t>5.</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分行对食堂物资进行清单梳理，涉及成本部分由</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分行与供应商确认无误后移交，成本费用在服务首月</w:t>
      </w:r>
      <w:r>
        <w:rPr>
          <w:rFonts w:hint="eastAsia" w:ascii="彩虹粗仿宋" w:hAnsi="等线" w:eastAsia="彩虹粗仿宋" w:cs="Times New Roman"/>
          <w:sz w:val="32"/>
          <w:szCs w:val="32"/>
          <w:lang w:eastAsia="zh-CN"/>
        </w:rPr>
        <w:t>贵港</w:t>
      </w:r>
      <w:r>
        <w:rPr>
          <w:rFonts w:hint="eastAsia" w:ascii="彩虹粗仿宋" w:hAnsi="等线" w:eastAsia="彩虹粗仿宋" w:cs="Times New Roman"/>
          <w:sz w:val="32"/>
          <w:szCs w:val="32"/>
        </w:rPr>
        <w:t>分行员工在食堂实际支出的餐食费中抵扣。</w:t>
      </w:r>
    </w:p>
    <w:p>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三、供应商资质要求</w:t>
      </w:r>
    </w:p>
    <w:p>
      <w:pPr>
        <w:adjustRightInd w:val="0"/>
        <w:snapToGrid w:val="0"/>
        <w:spacing w:line="360" w:lineRule="auto"/>
        <w:ind w:firstLine="640" w:firstLineChars="200"/>
        <w:rPr>
          <w:rFonts w:ascii="彩虹粗仿宋" w:eastAsia="彩虹粗仿宋"/>
          <w:sz w:val="32"/>
          <w:szCs w:val="32"/>
        </w:rPr>
      </w:pPr>
      <w:r>
        <w:rPr>
          <w:rFonts w:hint="eastAsia" w:ascii="彩虹粗仿宋" w:eastAsia="彩虹粗仿宋"/>
          <w:sz w:val="32"/>
          <w:szCs w:val="32"/>
        </w:rPr>
        <w:t>1.供应商成立1年以上（以营业执照注明的成立时间为准）。</w:t>
      </w:r>
    </w:p>
    <w:p>
      <w:pPr>
        <w:adjustRightInd w:val="0"/>
        <w:snapToGrid w:val="0"/>
        <w:spacing w:line="360" w:lineRule="auto"/>
        <w:ind w:firstLine="640" w:firstLineChars="200"/>
        <w:rPr>
          <w:rFonts w:ascii="彩虹粗仿宋" w:eastAsia="彩虹粗仿宋"/>
          <w:sz w:val="32"/>
          <w:szCs w:val="32"/>
        </w:rPr>
      </w:pPr>
      <w:r>
        <w:rPr>
          <w:rFonts w:hint="eastAsia" w:ascii="彩虹粗仿宋" w:eastAsia="彩虹粗仿宋"/>
          <w:sz w:val="32"/>
          <w:szCs w:val="32"/>
        </w:rPr>
        <w:t>2.需提供食品经营许可证或食品流通许可证。</w:t>
      </w:r>
    </w:p>
    <w:p>
      <w:pPr>
        <w:widowControl/>
        <w:shd w:val="clear" w:color="auto" w:fill="FFFFFF"/>
        <w:spacing w:before="75" w:after="75" w:line="450" w:lineRule="atLeast"/>
        <w:ind w:firstLine="480"/>
        <w:jc w:val="left"/>
        <w:rPr>
          <w:rFonts w:ascii="宋体" w:hAnsi="宋体" w:eastAsia="宋体" w:cs="Helvetica"/>
          <w:color w:val="333333"/>
          <w:kern w:val="0"/>
          <w:sz w:val="24"/>
          <w:szCs w:val="24"/>
        </w:rPr>
      </w:pPr>
      <w:r>
        <w:rPr>
          <w:rFonts w:hint="eastAsia" w:ascii="彩虹粗仿宋" w:eastAsia="彩虹粗仿宋"/>
          <w:sz w:val="32"/>
          <w:szCs w:val="32"/>
        </w:rPr>
        <w:t>3.</w:t>
      </w:r>
      <w:r>
        <w:rPr>
          <w:rFonts w:hint="eastAsia" w:ascii="彩虹粗仿宋" w:hAnsi="宋体" w:eastAsia="彩虹粗仿宋" w:cs="Helvetica"/>
          <w:color w:val="333333"/>
          <w:kern w:val="0"/>
          <w:sz w:val="32"/>
          <w:szCs w:val="32"/>
        </w:rPr>
        <w:t>候选供应商或其分支机构注册地应在于</w:t>
      </w:r>
      <w:r>
        <w:rPr>
          <w:rFonts w:hint="eastAsia" w:ascii="彩虹粗仿宋" w:hAnsi="宋体" w:eastAsia="彩虹粗仿宋" w:cs="Helvetica"/>
          <w:color w:val="333333"/>
          <w:kern w:val="0"/>
          <w:sz w:val="32"/>
          <w:szCs w:val="32"/>
          <w:lang w:eastAsia="zh-CN"/>
        </w:rPr>
        <w:t>贵港</w:t>
      </w:r>
      <w:r>
        <w:rPr>
          <w:rFonts w:hint="eastAsia" w:ascii="彩虹粗仿宋" w:hAnsi="宋体" w:eastAsia="彩虹粗仿宋" w:cs="Helvetica"/>
          <w:color w:val="333333"/>
          <w:kern w:val="0"/>
          <w:sz w:val="32"/>
          <w:szCs w:val="32"/>
        </w:rPr>
        <w:t>市区域内。</w:t>
      </w:r>
    </w:p>
    <w:p>
      <w:pPr>
        <w:adjustRightInd w:val="0"/>
        <w:snapToGrid w:val="0"/>
        <w:spacing w:line="360" w:lineRule="auto"/>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四、结算账户</w:t>
      </w:r>
    </w:p>
    <w:p>
      <w:pPr>
        <w:adjustRightInd w:val="0"/>
        <w:snapToGrid w:val="0"/>
        <w:spacing w:line="360" w:lineRule="auto"/>
        <w:ind w:firstLine="640" w:firstLineChars="200"/>
        <w:rPr>
          <w:rFonts w:ascii="彩虹粗仿宋" w:eastAsia="彩虹粗仿宋"/>
          <w:sz w:val="32"/>
          <w:szCs w:val="32"/>
        </w:rPr>
      </w:pPr>
      <w:r>
        <w:rPr>
          <w:rFonts w:hint="eastAsia" w:ascii="彩虹粗仿宋" w:eastAsia="彩虹粗仿宋"/>
          <w:sz w:val="32"/>
          <w:szCs w:val="32"/>
        </w:rPr>
        <w:t>供应商须在建行网点开立结算账户，用于服务项目结算；原则上收到</w:t>
      </w:r>
      <w:r>
        <w:rPr>
          <w:rFonts w:hint="eastAsia" w:ascii="彩虹粗仿宋" w:eastAsia="彩虹粗仿宋"/>
          <w:sz w:val="32"/>
          <w:szCs w:val="32"/>
          <w:lang w:eastAsia="zh-CN"/>
        </w:rPr>
        <w:t>贵港</w:t>
      </w:r>
      <w:r>
        <w:rPr>
          <w:rFonts w:hint="eastAsia" w:ascii="彩虹粗仿宋" w:eastAsia="彩虹粗仿宋"/>
          <w:sz w:val="32"/>
          <w:szCs w:val="32"/>
        </w:rPr>
        <w:t>分行款项10日内通过建行代发员工工资。</w:t>
      </w:r>
    </w:p>
    <w:p>
      <w:pPr>
        <w:adjustRightInd w:val="0"/>
        <w:snapToGrid w:val="0"/>
        <w:spacing w:line="360" w:lineRule="auto"/>
        <w:ind w:firstLine="643" w:firstLineChars="200"/>
        <w:rPr>
          <w:rFonts w:ascii="彩虹粗仿宋" w:hAnsi="宋体" w:eastAsia="彩虹粗仿宋" w:cs="Times New Roman"/>
          <w:b/>
          <w:snapToGrid w:val="0"/>
          <w:kern w:val="0"/>
          <w:sz w:val="32"/>
          <w:szCs w:val="32"/>
          <w:highlight w:val="none"/>
        </w:rPr>
      </w:pPr>
      <w:r>
        <w:rPr>
          <w:rFonts w:hint="eastAsia" w:ascii="彩虹粗仿宋" w:hAnsi="宋体" w:eastAsia="彩虹粗仿宋" w:cs="Times New Roman"/>
          <w:b/>
          <w:snapToGrid w:val="0"/>
          <w:kern w:val="0"/>
          <w:sz w:val="32"/>
          <w:szCs w:val="32"/>
          <w:highlight w:val="none"/>
        </w:rPr>
        <w:t>五、服务质量要求</w:t>
      </w:r>
    </w:p>
    <w:p>
      <w:pPr>
        <w:adjustRightInd w:val="0"/>
        <w:snapToGrid w:val="0"/>
        <w:spacing w:line="360" w:lineRule="auto"/>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1.餐饮标准及要求</w:t>
      </w:r>
    </w:p>
    <w:p>
      <w:pPr>
        <w:adjustRightInd w:val="0"/>
        <w:snapToGrid w:val="0"/>
        <w:spacing w:line="360" w:lineRule="auto"/>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供应商按照饮食行业的有关法规规章，所出品销售的食品质量符合国家卫生安全标准，做到每一餐足量、优质、味美、品种多样化（每个月要有新菜品出品）、食材新鲜（新鲜食材当天采购，不售卖隔夜菜），保温保质。供应商为</w:t>
      </w:r>
      <w:r>
        <w:rPr>
          <w:rFonts w:hint="eastAsia" w:ascii="彩虹粗仿宋" w:hAnsi="宋体" w:eastAsia="彩虹粗仿宋" w:cs="Times New Roman"/>
          <w:snapToGrid w:val="0"/>
          <w:kern w:val="0"/>
          <w:sz w:val="32"/>
          <w:szCs w:val="32"/>
          <w:highlight w:val="none"/>
          <w:lang w:eastAsia="zh-CN"/>
        </w:rPr>
        <w:t>贵港</w:t>
      </w:r>
      <w:r>
        <w:rPr>
          <w:rFonts w:hint="eastAsia" w:ascii="彩虹粗仿宋" w:hAnsi="宋体" w:eastAsia="彩虹粗仿宋" w:cs="Times New Roman"/>
          <w:snapToGrid w:val="0"/>
          <w:kern w:val="0"/>
          <w:sz w:val="32"/>
          <w:szCs w:val="32"/>
          <w:highlight w:val="none"/>
        </w:rPr>
        <w:t>分行食堂提供每日早、中、晚三餐服务。供餐时间按双方约定时间执行：早餐时间为7点20分至8点</w:t>
      </w:r>
      <w:r>
        <w:rPr>
          <w:rFonts w:hint="eastAsia" w:ascii="彩虹粗仿宋" w:hAnsi="宋体" w:eastAsia="彩虹粗仿宋" w:cs="Times New Roman"/>
          <w:snapToGrid w:val="0"/>
          <w:kern w:val="0"/>
          <w:sz w:val="32"/>
          <w:szCs w:val="32"/>
          <w:highlight w:val="none"/>
          <w:lang w:val="en-US" w:eastAsia="zh-CN"/>
        </w:rPr>
        <w:t>0</w:t>
      </w:r>
      <w:r>
        <w:rPr>
          <w:rFonts w:hint="eastAsia" w:ascii="彩虹粗仿宋" w:hAnsi="宋体" w:eastAsia="彩虹粗仿宋" w:cs="Times New Roman"/>
          <w:snapToGrid w:val="0"/>
          <w:kern w:val="0"/>
          <w:sz w:val="32"/>
          <w:szCs w:val="32"/>
          <w:highlight w:val="none"/>
        </w:rPr>
        <w:t>0分，中餐时间为11点</w:t>
      </w:r>
      <w:r>
        <w:rPr>
          <w:rFonts w:hint="eastAsia" w:ascii="彩虹粗仿宋" w:hAnsi="宋体" w:eastAsia="彩虹粗仿宋" w:cs="Times New Roman"/>
          <w:snapToGrid w:val="0"/>
          <w:kern w:val="0"/>
          <w:sz w:val="32"/>
          <w:szCs w:val="32"/>
          <w:highlight w:val="none"/>
          <w:lang w:val="en-US" w:eastAsia="zh-CN"/>
        </w:rPr>
        <w:t>30</w:t>
      </w:r>
      <w:r>
        <w:rPr>
          <w:rFonts w:hint="eastAsia" w:ascii="彩虹粗仿宋" w:hAnsi="宋体" w:eastAsia="彩虹粗仿宋" w:cs="Times New Roman"/>
          <w:snapToGrid w:val="0"/>
          <w:kern w:val="0"/>
          <w:sz w:val="32"/>
          <w:szCs w:val="32"/>
          <w:highlight w:val="none"/>
        </w:rPr>
        <w:t>分至13点00分，营业网点12点前送达。晚餐时间为17点45分至19点00分，日常接待餐等供餐时间需要调整或发生变化时，</w:t>
      </w:r>
      <w:r>
        <w:rPr>
          <w:rFonts w:hint="eastAsia" w:ascii="彩虹粗仿宋" w:hAnsi="宋体" w:eastAsia="彩虹粗仿宋" w:cs="Times New Roman"/>
          <w:snapToGrid w:val="0"/>
          <w:kern w:val="0"/>
          <w:sz w:val="32"/>
          <w:szCs w:val="32"/>
          <w:highlight w:val="none"/>
          <w:lang w:eastAsia="zh-CN"/>
        </w:rPr>
        <w:t>贵港</w:t>
      </w:r>
      <w:r>
        <w:rPr>
          <w:rFonts w:hint="eastAsia" w:ascii="彩虹粗仿宋" w:hAnsi="宋体" w:eastAsia="彩虹粗仿宋" w:cs="Times New Roman"/>
          <w:snapToGrid w:val="0"/>
          <w:kern w:val="0"/>
          <w:sz w:val="32"/>
          <w:szCs w:val="32"/>
          <w:highlight w:val="none"/>
        </w:rPr>
        <w:t>分行提前通知供应商，供应商应予配合。</w:t>
      </w:r>
    </w:p>
    <w:p>
      <w:pPr>
        <w:adjustRightInd w:val="0"/>
        <w:snapToGrid w:val="0"/>
        <w:spacing w:line="360" w:lineRule="auto"/>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（1）早餐以米粉、面条等为主，</w:t>
      </w:r>
      <w:r>
        <w:rPr>
          <w:rFonts w:hint="eastAsia" w:ascii="彩虹粗仿宋" w:hAnsi="宋体" w:eastAsia="彩虹粗仿宋" w:cs="Times New Roman"/>
          <w:snapToGrid w:val="0"/>
          <w:kern w:val="0"/>
          <w:sz w:val="32"/>
          <w:szCs w:val="32"/>
          <w:highlight w:val="none"/>
          <w:lang w:eastAsia="zh-CN"/>
        </w:rPr>
        <w:t>免费提供米粥、豆浆</w:t>
      </w:r>
      <w:r>
        <w:rPr>
          <w:rFonts w:hint="eastAsia" w:ascii="彩虹粗仿宋" w:hAnsi="宋体" w:eastAsia="彩虹粗仿宋" w:cs="Times New Roman"/>
          <w:snapToGrid w:val="0"/>
          <w:kern w:val="0"/>
          <w:sz w:val="32"/>
          <w:szCs w:val="32"/>
          <w:highlight w:val="none"/>
        </w:rPr>
        <w:t>，每天早餐的品种根据各行的需求提供,早餐配菜至少2个，早餐的量不得低于</w:t>
      </w:r>
      <w:r>
        <w:rPr>
          <w:rFonts w:hint="eastAsia" w:ascii="彩虹粗仿宋" w:hAnsi="宋体" w:eastAsia="彩虹粗仿宋" w:cs="Times New Roman"/>
          <w:snapToGrid w:val="0"/>
          <w:kern w:val="0"/>
          <w:sz w:val="32"/>
          <w:szCs w:val="32"/>
          <w:highlight w:val="none"/>
          <w:lang w:eastAsia="zh-CN"/>
        </w:rPr>
        <w:t>贵港</w:t>
      </w:r>
      <w:r>
        <w:rPr>
          <w:rFonts w:hint="eastAsia" w:ascii="彩虹粗仿宋" w:hAnsi="宋体" w:eastAsia="彩虹粗仿宋" w:cs="Times New Roman"/>
          <w:snapToGrid w:val="0"/>
          <w:kern w:val="0"/>
          <w:sz w:val="32"/>
          <w:szCs w:val="32"/>
          <w:highlight w:val="none"/>
        </w:rPr>
        <w:t>市场正常合理定量，质量、安全要达到国家规定的相应的食品行业标准。</w:t>
      </w:r>
    </w:p>
    <w:p>
      <w:pPr>
        <w:adjustRightInd w:val="0"/>
        <w:snapToGrid w:val="0"/>
        <w:spacing w:line="360" w:lineRule="auto"/>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（2）中、晚餐以米饭、全荤菜、半荤菜、素菜为主。中晚餐每餐提供套餐式（1个全荤菜+1个荤</w:t>
      </w:r>
      <w:r>
        <w:rPr>
          <w:rFonts w:hint="eastAsia" w:ascii="彩虹粗仿宋" w:hAnsi="宋体" w:eastAsia="彩虹粗仿宋" w:cs="Times New Roman"/>
          <w:snapToGrid w:val="0"/>
          <w:kern w:val="0"/>
          <w:sz w:val="32"/>
          <w:szCs w:val="32"/>
          <w:highlight w:val="none"/>
          <w:lang w:eastAsia="zh-CN"/>
        </w:rPr>
        <w:t>素搭配</w:t>
      </w:r>
      <w:r>
        <w:rPr>
          <w:rFonts w:hint="eastAsia" w:ascii="彩虹粗仿宋" w:hAnsi="宋体" w:eastAsia="彩虹粗仿宋" w:cs="Times New Roman"/>
          <w:snapToGrid w:val="0"/>
          <w:kern w:val="0"/>
          <w:sz w:val="32"/>
          <w:szCs w:val="32"/>
          <w:highlight w:val="none"/>
        </w:rPr>
        <w:t>菜+1个素菜）菜品，平时为员工提供免费汤水、</w:t>
      </w:r>
      <w:r>
        <w:rPr>
          <w:rFonts w:hint="eastAsia" w:ascii="彩虹粗仿宋" w:hAnsi="宋体" w:eastAsia="彩虹粗仿宋" w:cs="Times New Roman"/>
          <w:snapToGrid w:val="0"/>
          <w:kern w:val="0"/>
          <w:sz w:val="32"/>
          <w:szCs w:val="32"/>
          <w:highlight w:val="none"/>
          <w:lang w:eastAsia="zh-CN"/>
        </w:rPr>
        <w:t>粥等，</w:t>
      </w:r>
      <w:r>
        <w:rPr>
          <w:rFonts w:hint="eastAsia" w:ascii="彩虹粗仿宋" w:hAnsi="宋体" w:eastAsia="彩虹粗仿宋" w:cs="Times New Roman"/>
          <w:snapToGrid w:val="0"/>
          <w:kern w:val="0"/>
          <w:sz w:val="32"/>
          <w:szCs w:val="32"/>
          <w:highlight w:val="none"/>
        </w:rPr>
        <w:t>夏季免费为员工提供适量的解暑饮品。餐品品种应随季节合理调整，荤素搭配灵活多样，中、晚餐一周内餐品品种不重复。中、晚餐的量不得低于市场正常合理定量、质量，安全要达到国家规定的相应的食品行业标准。</w:t>
      </w:r>
    </w:p>
    <w:p>
      <w:pPr>
        <w:adjustRightInd w:val="0"/>
        <w:snapToGrid w:val="0"/>
        <w:spacing w:line="360" w:lineRule="auto"/>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（3）食材不得使用冻品；素菜均衡提供根茎类、叶子菜；严格管控食品添加剂的使用。</w:t>
      </w:r>
    </w:p>
    <w:p>
      <w:pPr>
        <w:adjustRightInd w:val="0"/>
        <w:snapToGrid w:val="0"/>
        <w:spacing w:line="360" w:lineRule="auto"/>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（4）为</w:t>
      </w:r>
      <w:r>
        <w:rPr>
          <w:rFonts w:hint="eastAsia" w:ascii="彩虹粗仿宋" w:hAnsi="宋体" w:eastAsia="彩虹粗仿宋" w:cs="Times New Roman"/>
          <w:snapToGrid w:val="0"/>
          <w:kern w:val="0"/>
          <w:sz w:val="32"/>
          <w:szCs w:val="32"/>
          <w:highlight w:val="none"/>
          <w:lang w:eastAsia="zh-CN"/>
        </w:rPr>
        <w:t>贵港</w:t>
      </w:r>
      <w:r>
        <w:rPr>
          <w:rFonts w:hint="eastAsia" w:ascii="彩虹粗仿宋" w:hAnsi="宋体" w:eastAsia="彩虹粗仿宋" w:cs="Times New Roman"/>
          <w:snapToGrid w:val="0"/>
          <w:kern w:val="0"/>
          <w:sz w:val="32"/>
          <w:szCs w:val="32"/>
          <w:highlight w:val="none"/>
        </w:rPr>
        <w:t>分行员工食堂提供牙签、餐巾纸、调味品（酱油、醋、辣椒酱）等必要就餐用品。</w:t>
      </w:r>
    </w:p>
    <w:p>
      <w:pPr>
        <w:adjustRightInd w:val="0"/>
        <w:snapToGrid w:val="0"/>
        <w:spacing w:line="360" w:lineRule="auto"/>
        <w:ind w:firstLine="640"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（5）根据</w:t>
      </w:r>
      <w:r>
        <w:rPr>
          <w:rFonts w:hint="eastAsia" w:ascii="彩虹粗仿宋" w:hAnsi="宋体" w:eastAsia="彩虹粗仿宋" w:cs="Times New Roman"/>
          <w:snapToGrid w:val="0"/>
          <w:kern w:val="0"/>
          <w:sz w:val="32"/>
          <w:szCs w:val="32"/>
          <w:highlight w:val="none"/>
          <w:lang w:eastAsia="zh-CN"/>
        </w:rPr>
        <w:t>贵港</w:t>
      </w:r>
      <w:r>
        <w:rPr>
          <w:rFonts w:hint="eastAsia" w:ascii="彩虹粗仿宋" w:hAnsi="宋体" w:eastAsia="彩虹粗仿宋" w:cs="Times New Roman"/>
          <w:snapToGrid w:val="0"/>
          <w:kern w:val="0"/>
          <w:sz w:val="32"/>
          <w:szCs w:val="32"/>
          <w:highlight w:val="none"/>
        </w:rPr>
        <w:t>分行的要求负责对食堂点餐系统进行数据导入导出、对账以及维护和管理。</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2.食品安全卫生管理</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严格遵照相关食品安全法律法规等要求规范操作，杜绝食品安全事故；供应商应严格遵守《中华人民共和国食品安全法》、《中华人民共和国食品安全法实施条例》等法律法规的规定，承担餐饮食品安全“第一责任人”职责，落实餐饮服务安全各项管理制度，并积极配合做好以下工作：</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（1）强化食品安全精细化管理，确保</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分行员工吃得放心、安心。</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（2）委托第三方专业检测机构对餐具、食品等不定期检测化验。</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强化食品采购、储藏、制作、留样、餐厅卫生、人员卫生管理、厨余垃圾处理等多重环节的监督检查。供应商明确专人负责每餐供餐食品的留样工作，设置食品留样专柜，并做好留样记录（日期、品名、加工时间、加工人员），留样食品每个品种留样量不少于100g，不可缺样，密闭保存在容器内，并存放在5℃左右的冷藏条件下保存48小时。</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 xml:space="preserve">（4）严格控制食品添加剂的使用，保证使用时有登记、可追溯，要在规定的保质内使用；供应商提供应季蔬菜，尽量杜绝反季节果蔬。要控制油、盐、糖的摄入，每天推进多款低油、低盐、低糖的三低健康菜品。 </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（5）易耗品有损耗、缺口、发黄、发霉、变形、不符合卫生安全要求等情况供应商须及时更换，筷子至少每年更换一次。</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（6）设置餐饮监管经理，明确每天、每周、每月及全年工作职责和重点，每日对餐饮工作进行抽查，每月对餐饮公司开展专项检查，全程跟踪餐饮重点服务环节。</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（7）因停燃气停水停电等特殊原因，无法在食堂做餐，供应商有义务为</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分行外购符合健康标准快餐，满足</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分行需求。</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3.负责食堂安全管理</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应建立健全各项必要的消防、食品安全、值班检查等岗位责任制度，并确保各项制度得到严格落实执行；加强对燃气、水、电及各类电器等的安全检查并确保不发生违规操作行为，防止发生火灾等安全责任事故，保证运行安全。</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（2）做好各项应急预案并报</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备案。包括但不限于食品中毒事故应急预案、燃气泄漏爆炸应急预案、消防应急预案、食堂火灾事故应急预案、人员工伤事故应急预案、食堂被盗事故应急预案、临时以及紧急停水或停电应急预案、临时停气应急预案等。</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（3）经双方确认或市场监督管理局、卫生防疫等食品安全监督管理权威部门认定，对于因菜品质量问题或加工问题引发的食物中毒、接待中重大失误、由供应商操作人员造成</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分行重大损失等情况，</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分行可立即终止服务协议。造成经济损失的，</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分行按不低于三倍的金额向供应商追究经济补偿；造成声誉损失的，供应商须通过媒体公告、致歉等方式帮助</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分行挽回损失；需承担刑事责任的，</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分行将配合执法机关追究供应商刑事责任。</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4.加强员工管理，做好员工培训，提高员工服务质量与安全意识。</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（1）供应商负责制定针对为</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分行服务的工作人员手册和规章制度，并对其工作人员进行监督管理，包括考勤管理、薪酬管理、绩效考核、招聘、评奖评优及日常工作管理等方面，并通过各种活动，对工作人员进行思想教育和职业道德教育。</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（2）供应商工作人员必须持证上岗，身体健康状况良好，有体检合格证，无传染性疾病或其他影响工作需要的身体疾病。服务期内，供应商每年需组织员工进行体检，获得从业健康证明，</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分行有权根据工作需要进行抽检。</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（3）供应商每季度至少给食堂员工进行一次培训，培训内容包括但不限于：业务技能、服务礼仪、制度规范等。每半年至少给食堂员工进行一次安全演练（食品安全 、燃气安全、用电安全等），培训和演练做好记录和台账方便</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分行进行检查。</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（4）供应商工作人员应严格遵守</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分行的一切规章制度，外来人员参观食堂须预先向</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分行管理员报告，协助</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分行做好治安、卫生防范工作。</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供应商工作人员上岗需着工作服、工作鞋，并佩戴工作牌，服装、鞋子保持干净、整洁，不准留长发、戴首饰、染指甲，个人卫生做到勤剪指甲、勤理发、勤洗工作服；盛饭时不用手拿食品、工作时不吸烟、不随地吐痰、不对着食品和就餐者打喷嚏、不随地倒垃圾和脏水。工作人员微笑服务，使用文明用语；不得与服务对象发生口角及肢体冲突。</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5.服务监督与管理</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（1）建立服务质量信息沟通机制，供应商应公布餐饮服务电话、设立餐饮服务咨询投诉箱等；不定期组织有</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分行监管员参加的食堂管理小组会议，进行良性沟通。</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（2）供应商建立有效明确的服务评价体系，定期给相关渠道供</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分行食堂用餐员工满意度测评，供应商应对测评反映的服务不满意的事项、提出的意见和建议及投诉要求，及时分析，及时整改落实。</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分行每季度对项目餐饮服务质量进行打分考核，项目的评分标准由供应商提供，</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参与讨论后确定考核标准。考核结果90（含）分及以上，全额支付上季度食堂服务管理费；75分（含）-90分（不含），扣除上季度食堂服务管理费0.2万元；60分（含）-75分（不含），扣除上季度食堂服务管理费0.5万元；60分（不含）以下，扣除上季度食堂服务管理费1万元。如发生安全风险事故的，暂停上季度服务管理费的支付，待责任分清认定后，再协商服务管理费支付比例。供应商的考核结果累计三次低于60分的，</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分行有权单方面终止合同。</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（4）如发生以下情形的，</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分行可直接认定为不合格且有权解除合同，并要求供应商承担违约责任：</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A.发生刑事案件的（以公安部门立案为准）；</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B.因管理不到位，发生重大责任事故的；</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C.因执行不力，落实不到位，发生重大失误或给</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分行造成不良影响的。</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6.加强食品采购流程的监管</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（1）建立食材合格供应商名录备案。</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食品采购实行层层验收，人人把关；食品原材料、辅料验收及出入库等制度并确保得到严格落实执行，对采购的全部食品原材料、调味料和辅料安全性负责，确保食品原材料、调味料和辅料品质符合国家食品安全相关规定；在确认的指定区域进行食堂采购的食材、物品等的出入库操作，验收坚持双人把关制度，严禁采购三无产品及假冒伪劣产品、过期变质、含不明或过量添加物及不洁食品、转基因原材料等；验收和库房管理要防止因违规或操作、保存不当而发生食物中毒等责任事故。</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确保采购的食品原材料、调味料和辅料等符合国家食品安全相关规定和标准，对供货商运输和存储环节加以监控，避免原材料变质、污染。包装食品原料有QS标志；蔬菜有农药残留物检测单；肉类有检疫证、屠宰证；河鱼鲜活；冷冻海产品在保质期内。所采购的食材、食品能迅速追溯到源头，食品的来源应有有效详细资料，以供保存，及时自查。</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7.加强食堂设备设施的管理</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应对</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分行提供的设备设施建立台账，并建立维修、保养档案，做好日常维护工作。</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8.确保食堂环境卫生</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应在食堂食品保管、制作加工、流转操作和服务各环节严格落实卫生、消毒、防疫等国家相关规定，确保供应食用的食品、饮品等符合国家卫生标准；确保使用的餐饮具在使用前得到完全有效消毒，未经规范消毒的餐具和器具禁止使用；使用洗涤剂、消毒液等符合国家安全标准。</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做好食堂卫生清洁，做到卫生达标，食品卫生等相关监督部门检查合格；防火、防盗、防毒等安全责任落实，措施到位，符合国家相关安全要求标准。每月对食堂开展厨房消毒2次及以上，除四害服务1次及以上。</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 xml:space="preserve">（3）对餐厅、厨房、通道、走廊、门窗、库房等场所的环境卫生，做到定人、定时间、定质量。每日小扫、每周大扫，以确保卫生工作经常化、制度化；厨房的菜墩、菜刀、和面机、绞肉机等用品，使用后必须立即冲洗擦净，并按指定地点存放；冰箱、冰柜、消毒柜等设施运行正常，外箱体洁净，内箱储放物摆放整齐、无杂物、无异味；后厨地面、灶台、加工台案等干净、整洁，无油垢；库房地面干净整洁、墙面无积尘、虫、蝇、鼠、蟑螂及蛛网；物品收纳整齐、分类摆放，出入库登记台账完整，食材等原材料标识采购日期、保质期及供应商，供应商定期进行盘点并做好记录备查； </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（4）负责厨房烟道的日常清洗、下水道清理等工作；负责餐余垃圾的清理、记录，分析。</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9.遵守国家、地方的法规，对管理服务中的食品卫生、税务、劳动用工、安全法规等要承担相应的经济、法律责任。</w:t>
      </w:r>
    </w:p>
    <w:p>
      <w:pPr>
        <w:adjustRightInd w:val="0"/>
        <w:snapToGrid w:val="0"/>
        <w:spacing w:line="360" w:lineRule="auto"/>
        <w:ind w:firstLine="643" w:firstLineChars="200"/>
        <w:rPr>
          <w:rFonts w:ascii="彩虹楷体" w:hAnsi="宋体" w:eastAsia="彩虹楷体" w:cs="Times New Roman"/>
          <w:b/>
          <w:snapToGrid w:val="0"/>
          <w:kern w:val="0"/>
          <w:sz w:val="32"/>
          <w:szCs w:val="32"/>
        </w:rPr>
      </w:pPr>
      <w:r>
        <w:rPr>
          <w:rFonts w:hint="eastAsia" w:ascii="彩虹楷体" w:eastAsia="彩虹楷体"/>
          <w:b/>
          <w:sz w:val="32"/>
          <w:szCs w:val="32"/>
        </w:rPr>
        <w:t>六、</w:t>
      </w:r>
      <w:r>
        <w:rPr>
          <w:rFonts w:hint="eastAsia" w:ascii="彩虹楷体" w:hAnsi="宋体" w:eastAsia="彩虹楷体" w:cs="Times New Roman"/>
          <w:b/>
          <w:snapToGrid w:val="0"/>
          <w:kern w:val="0"/>
          <w:sz w:val="32"/>
          <w:szCs w:val="32"/>
        </w:rPr>
        <w:t>服务地址及数量要求</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572"/>
        <w:gridCol w:w="640"/>
        <w:gridCol w:w="863"/>
        <w:gridCol w:w="975"/>
        <w:gridCol w:w="1781"/>
        <w:gridCol w:w="1067"/>
        <w:gridCol w:w="1066"/>
      </w:tblGrid>
      <w:tr>
        <w:tblPrEx>
          <w:tblLayout w:type="fixed"/>
        </w:tblPrEx>
        <w:trPr>
          <w:trHeight w:val="445" w:hRule="atLeast"/>
        </w:trPr>
        <w:tc>
          <w:tcPr>
            <w:tcW w:w="558" w:type="dxa"/>
          </w:tcPr>
          <w:p>
            <w:pPr>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序号</w:t>
            </w:r>
          </w:p>
        </w:tc>
        <w:tc>
          <w:tcPr>
            <w:tcW w:w="1572" w:type="dxa"/>
          </w:tcPr>
          <w:p>
            <w:pPr>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食堂名称</w:t>
            </w:r>
          </w:p>
        </w:tc>
        <w:tc>
          <w:tcPr>
            <w:tcW w:w="640" w:type="dxa"/>
          </w:tcPr>
          <w:p>
            <w:pPr>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岗位需求</w:t>
            </w:r>
          </w:p>
        </w:tc>
        <w:tc>
          <w:tcPr>
            <w:tcW w:w="863" w:type="dxa"/>
          </w:tcPr>
          <w:p>
            <w:pPr>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当前用餐人数</w:t>
            </w:r>
          </w:p>
        </w:tc>
        <w:tc>
          <w:tcPr>
            <w:tcW w:w="975" w:type="dxa"/>
          </w:tcPr>
          <w:p>
            <w:pPr>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本期用餐模式</w:t>
            </w:r>
          </w:p>
        </w:tc>
        <w:tc>
          <w:tcPr>
            <w:tcW w:w="1781" w:type="dxa"/>
          </w:tcPr>
          <w:p>
            <w:pP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lang w:eastAsia="zh-CN"/>
              </w:rPr>
              <w:t>食堂地址</w:t>
            </w:r>
          </w:p>
        </w:tc>
        <w:tc>
          <w:tcPr>
            <w:tcW w:w="1067" w:type="dxa"/>
          </w:tcPr>
          <w:p>
            <w:pPr>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配送午餐数量（网点</w:t>
            </w:r>
          </w:p>
        </w:tc>
        <w:tc>
          <w:tcPr>
            <w:tcW w:w="1066" w:type="dxa"/>
          </w:tcPr>
          <w:p>
            <w:pPr>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本期服务期限</w:t>
            </w:r>
          </w:p>
        </w:tc>
      </w:tr>
      <w:tr>
        <w:tblPrEx>
          <w:tblLayout w:type="fixed"/>
        </w:tblPrEx>
        <w:tc>
          <w:tcPr>
            <w:tcW w:w="558"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1572" w:type="dxa"/>
          </w:tcPr>
          <w:p>
            <w:pPr>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贵港分行本级食堂</w:t>
            </w:r>
          </w:p>
        </w:tc>
        <w:tc>
          <w:tcPr>
            <w:tcW w:w="640"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w:t>
            </w:r>
          </w:p>
        </w:tc>
        <w:tc>
          <w:tcPr>
            <w:tcW w:w="863"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80</w:t>
            </w:r>
          </w:p>
        </w:tc>
        <w:tc>
          <w:tcPr>
            <w:tcW w:w="97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早+午+晚</w:t>
            </w:r>
          </w:p>
        </w:tc>
        <w:tc>
          <w:tcPr>
            <w:tcW w:w="1781"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eastAsia="zh-CN"/>
              </w:rPr>
              <w:t>港北区解放路</w:t>
            </w:r>
            <w:r>
              <w:rPr>
                <w:rFonts w:hint="eastAsia" w:asciiTheme="minorEastAsia" w:hAnsiTheme="minorEastAsia" w:eastAsiaTheme="minorEastAsia" w:cstheme="minorEastAsia"/>
                <w:sz w:val="18"/>
                <w:szCs w:val="18"/>
                <w:vertAlign w:val="baseline"/>
                <w:lang w:val="en-US" w:eastAsia="zh-CN"/>
              </w:rPr>
              <w:t>98号</w:t>
            </w:r>
          </w:p>
        </w:tc>
        <w:tc>
          <w:tcPr>
            <w:tcW w:w="1067"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8</w:t>
            </w:r>
          </w:p>
        </w:tc>
        <w:tc>
          <w:tcPr>
            <w:tcW w:w="1066" w:type="dxa"/>
          </w:tcPr>
          <w:p>
            <w:pPr>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lang w:eastAsia="zh-CN"/>
              </w:rPr>
              <w:t>二年</w:t>
            </w:r>
          </w:p>
        </w:tc>
      </w:tr>
      <w:tr>
        <w:tblPrEx>
          <w:tblLayout w:type="fixed"/>
        </w:tblPrEx>
        <w:tc>
          <w:tcPr>
            <w:tcW w:w="558"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w:t>
            </w:r>
          </w:p>
        </w:tc>
        <w:tc>
          <w:tcPr>
            <w:tcW w:w="1572"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覃塘振兴支行小加工间</w:t>
            </w:r>
          </w:p>
        </w:tc>
        <w:tc>
          <w:tcPr>
            <w:tcW w:w="640"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863"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97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午餐</w:t>
            </w:r>
          </w:p>
        </w:tc>
        <w:tc>
          <w:tcPr>
            <w:tcW w:w="1781"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eastAsia="zh-CN"/>
              </w:rPr>
              <w:t>覃塘区覃塘镇南环路</w:t>
            </w:r>
            <w:r>
              <w:rPr>
                <w:rFonts w:hint="eastAsia" w:asciiTheme="minorEastAsia" w:hAnsiTheme="minorEastAsia" w:eastAsiaTheme="minorEastAsia" w:cstheme="minorEastAsia"/>
                <w:sz w:val="18"/>
                <w:szCs w:val="18"/>
                <w:vertAlign w:val="baseline"/>
                <w:lang w:val="en-US" w:eastAsia="zh-CN"/>
              </w:rPr>
              <w:t>132号</w:t>
            </w:r>
          </w:p>
        </w:tc>
        <w:tc>
          <w:tcPr>
            <w:tcW w:w="1067"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1066" w:type="dxa"/>
          </w:tcPr>
          <w:p>
            <w:pP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lang w:eastAsia="zh-CN"/>
              </w:rPr>
              <w:t>二年</w:t>
            </w:r>
          </w:p>
        </w:tc>
      </w:tr>
      <w:tr>
        <w:tblPrEx>
          <w:tblLayout w:type="fixed"/>
        </w:tblPrEx>
        <w:tc>
          <w:tcPr>
            <w:tcW w:w="558"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w:t>
            </w:r>
          </w:p>
        </w:tc>
        <w:tc>
          <w:tcPr>
            <w:tcW w:w="1572"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桂平支行食堂</w:t>
            </w:r>
          </w:p>
        </w:tc>
        <w:tc>
          <w:tcPr>
            <w:tcW w:w="640"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863"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25</w:t>
            </w:r>
          </w:p>
        </w:tc>
        <w:tc>
          <w:tcPr>
            <w:tcW w:w="97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早+午</w:t>
            </w:r>
          </w:p>
        </w:tc>
        <w:tc>
          <w:tcPr>
            <w:tcW w:w="1781" w:type="dxa"/>
          </w:tcPr>
          <w:p>
            <w:pP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桂平市大成中路72号</w:t>
            </w:r>
          </w:p>
        </w:tc>
        <w:tc>
          <w:tcPr>
            <w:tcW w:w="1067"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1066" w:type="dxa"/>
          </w:tcPr>
          <w:p>
            <w:pP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lang w:eastAsia="zh-CN"/>
              </w:rPr>
              <w:t>二年</w:t>
            </w:r>
          </w:p>
        </w:tc>
      </w:tr>
      <w:tr>
        <w:tblPrEx>
          <w:tblLayout w:type="fixed"/>
        </w:tblPrEx>
        <w:tc>
          <w:tcPr>
            <w:tcW w:w="558" w:type="dxa"/>
          </w:tcPr>
          <w:p>
            <w:p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4</w:t>
            </w:r>
          </w:p>
        </w:tc>
        <w:tc>
          <w:tcPr>
            <w:tcW w:w="1572"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平南支行食堂</w:t>
            </w:r>
          </w:p>
        </w:tc>
        <w:tc>
          <w:tcPr>
            <w:tcW w:w="640" w:type="dxa"/>
          </w:tcPr>
          <w:p>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863"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97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i w:val="0"/>
                <w:color w:val="000000"/>
                <w:kern w:val="0"/>
                <w:sz w:val="18"/>
                <w:szCs w:val="18"/>
                <w:u w:val="none"/>
                <w:lang w:val="en-US" w:eastAsia="zh-CN" w:bidi="ar"/>
              </w:rPr>
              <w:t>早+午</w:t>
            </w:r>
          </w:p>
        </w:tc>
        <w:tc>
          <w:tcPr>
            <w:tcW w:w="1781" w:type="dxa"/>
          </w:tcPr>
          <w:p>
            <w:pP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平南县平南街道朝阳路668号</w:t>
            </w:r>
          </w:p>
        </w:tc>
        <w:tc>
          <w:tcPr>
            <w:tcW w:w="1067" w:type="dxa"/>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18"/>
                <w:szCs w:val="18"/>
                <w:vertAlign w:val="baseline"/>
              </w:rPr>
            </w:pPr>
            <w:r>
              <w:rPr>
                <w:rFonts w:hint="eastAsia" w:asciiTheme="minorEastAsia" w:hAnsiTheme="minorEastAsia" w:cstheme="minorEastAsia"/>
                <w:i w:val="0"/>
                <w:color w:val="000000"/>
                <w:kern w:val="0"/>
                <w:sz w:val="18"/>
                <w:szCs w:val="18"/>
                <w:u w:val="none"/>
                <w:lang w:val="en-US" w:eastAsia="zh-CN" w:bidi="ar"/>
              </w:rPr>
              <w:t>0</w:t>
            </w:r>
          </w:p>
        </w:tc>
        <w:tc>
          <w:tcPr>
            <w:tcW w:w="1066" w:type="dxa"/>
          </w:tcPr>
          <w:p>
            <w:pP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lang w:eastAsia="zh-CN"/>
              </w:rPr>
              <w:t>二年</w:t>
            </w:r>
          </w:p>
        </w:tc>
      </w:tr>
    </w:tbl>
    <w:p>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配送服务仅限午餐，用餐数量及餐次根据各行实际需求及每天员工用餐需求而定。</w:t>
      </w:r>
    </w:p>
    <w:p>
      <w:pPr>
        <w:adjustRightInd w:val="0"/>
        <w:snapToGrid w:val="0"/>
        <w:spacing w:line="360" w:lineRule="auto"/>
        <w:ind w:firstLine="643" w:firstLineChars="200"/>
        <w:rPr>
          <w:rFonts w:ascii="彩虹楷体" w:eastAsia="彩虹楷体"/>
          <w:b/>
          <w:sz w:val="32"/>
          <w:szCs w:val="32"/>
        </w:rPr>
      </w:pPr>
      <w:r>
        <w:rPr>
          <w:rFonts w:hint="eastAsia" w:ascii="彩虹楷体" w:eastAsia="彩虹楷体"/>
          <w:b/>
          <w:sz w:val="32"/>
          <w:szCs w:val="32"/>
        </w:rPr>
        <w:t>七、款项支付要求</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1.员工餐费结算。</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分行员工凭员工就餐系统订餐用餐消费。供应商每月终了与</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分行对账，按上月员工就餐卡消费金额开具增值税普通发票,向</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分行申请付款。</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分行一般于20个工作日内通过银行转帐方式向供应商指定帐户一次性全额支付餐费，未及时结算货款的及所收履约保证金均不计息。</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2.餐饮服务费结算</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分行按季度与供应商结算，由</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分行在龙集采发起付款申请，供应商开具增值税普通发票，</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分行进行付款。</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3.接待餐餐费的结算。接待餐餐费由申请人统一与供应商结算。接待餐餐费严格按照</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分行审批流程审批完成后方可安排用餐，用餐标准需严格按照</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分行规定执行。</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4.建立规范的财务核算，帐、实分管并做到账实相符和日清月结。</w:t>
      </w:r>
    </w:p>
    <w:p>
      <w:pPr>
        <w:adjustRightInd w:val="0"/>
        <w:snapToGrid w:val="0"/>
        <w:spacing w:line="360" w:lineRule="auto"/>
        <w:ind w:firstLine="643" w:firstLineChars="200"/>
        <w:rPr>
          <w:rFonts w:ascii="彩虹楷体" w:eastAsia="彩虹楷体"/>
          <w:b/>
          <w:sz w:val="32"/>
          <w:szCs w:val="32"/>
        </w:rPr>
      </w:pPr>
      <w:r>
        <w:rPr>
          <w:rFonts w:hint="eastAsia" w:ascii="彩虹楷体" w:eastAsia="彩虹楷体"/>
          <w:b/>
          <w:sz w:val="32"/>
          <w:szCs w:val="32"/>
        </w:rPr>
        <w:t>八、售后服务要求</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供应商根据服务质量要求提供服务。1.对</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反馈的意见或提出的整改要求，应在24小时内响应。2.对提出的具体整改事项，原则上应在2个工作日内整改到位，特殊事项可酌情延长整改时限。3.对提出更换人员的要求，原则上应在3个工作日内更换人员到位。</w:t>
      </w:r>
    </w:p>
    <w:p>
      <w:pPr>
        <w:adjustRightInd w:val="0"/>
        <w:snapToGrid w:val="0"/>
        <w:spacing w:line="360" w:lineRule="auto"/>
        <w:ind w:firstLine="643" w:firstLineChars="200"/>
        <w:rPr>
          <w:rFonts w:ascii="彩虹楷体" w:eastAsia="彩虹楷体"/>
          <w:b/>
          <w:sz w:val="32"/>
          <w:szCs w:val="32"/>
        </w:rPr>
      </w:pPr>
      <w:r>
        <w:rPr>
          <w:rFonts w:hint="eastAsia" w:ascii="彩虹楷体" w:eastAsia="彩虹楷体"/>
          <w:b/>
          <w:sz w:val="32"/>
          <w:szCs w:val="32"/>
        </w:rPr>
        <w:t>九、报价要求</w:t>
      </w:r>
    </w:p>
    <w:p>
      <w:pPr>
        <w:adjustRightInd w:val="0"/>
        <w:snapToGrid w:val="0"/>
        <w:spacing w:line="360" w:lineRule="auto"/>
        <w:ind w:firstLine="640" w:firstLineChars="200"/>
        <w:jc w:val="center"/>
        <w:rPr>
          <w:rFonts w:hint="eastAsia" w:ascii="彩虹粗仿宋" w:hAnsi="宋体" w:eastAsia="彩虹粗仿宋" w:cs="Times New Roman"/>
          <w:snapToGrid w:val="0"/>
          <w:kern w:val="0"/>
          <w:sz w:val="32"/>
          <w:szCs w:val="28"/>
        </w:rPr>
      </w:pPr>
    </w:p>
    <w:p>
      <w:pPr>
        <w:adjustRightInd w:val="0"/>
        <w:snapToGrid w:val="0"/>
        <w:spacing w:line="360" w:lineRule="auto"/>
        <w:ind w:firstLine="640" w:firstLineChars="200"/>
        <w:jc w:val="center"/>
        <w:rPr>
          <w:rFonts w:hint="eastAsia" w:ascii="彩虹粗仿宋" w:hAnsi="宋体" w:eastAsia="彩虹粗仿宋" w:cs="Times New Roman"/>
          <w:snapToGrid w:val="0"/>
          <w:kern w:val="0"/>
          <w:sz w:val="32"/>
          <w:szCs w:val="28"/>
        </w:rPr>
      </w:pPr>
    </w:p>
    <w:p>
      <w:pPr>
        <w:adjustRightInd w:val="0"/>
        <w:snapToGrid w:val="0"/>
        <w:spacing w:line="360" w:lineRule="auto"/>
        <w:ind w:firstLine="640" w:firstLineChars="200"/>
        <w:jc w:val="center"/>
        <w:rPr>
          <w:rFonts w:ascii="彩虹粗仿宋" w:hAnsi="宋体" w:eastAsia="彩虹粗仿宋" w:cs="Times New Roman"/>
          <w:snapToGrid w:val="0"/>
          <w:kern w:val="0"/>
          <w:sz w:val="32"/>
          <w:szCs w:val="28"/>
        </w:rPr>
      </w:pPr>
      <w:r>
        <w:rPr>
          <w:rFonts w:hint="eastAsia" w:ascii="彩虹粗仿宋" w:hAnsi="宋体" w:eastAsia="彩虹粗仿宋" w:cs="Times New Roman"/>
          <w:snapToGrid w:val="0"/>
          <w:kern w:val="0"/>
          <w:sz w:val="32"/>
          <w:szCs w:val="28"/>
        </w:rPr>
        <w:t>报价表</w:t>
      </w:r>
    </w:p>
    <w:tbl>
      <w:tblPr>
        <w:tblStyle w:val="9"/>
        <w:tblW w:w="8520" w:type="dxa"/>
        <w:jc w:val="center"/>
        <w:tblInd w:w="0" w:type="dxa"/>
        <w:tblLayout w:type="fixed"/>
        <w:tblCellMar>
          <w:top w:w="0" w:type="dxa"/>
          <w:left w:w="108" w:type="dxa"/>
          <w:bottom w:w="0" w:type="dxa"/>
          <w:right w:w="108" w:type="dxa"/>
        </w:tblCellMar>
      </w:tblPr>
      <w:tblGrid>
        <w:gridCol w:w="578"/>
        <w:gridCol w:w="1216"/>
        <w:gridCol w:w="1558"/>
        <w:gridCol w:w="1219"/>
        <w:gridCol w:w="1059"/>
        <w:gridCol w:w="543"/>
        <w:gridCol w:w="1109"/>
        <w:gridCol w:w="355"/>
        <w:gridCol w:w="883"/>
      </w:tblGrid>
      <w:tr>
        <w:tblPrEx>
          <w:tblLayout w:type="fixed"/>
        </w:tblPrEx>
        <w:trPr>
          <w:trHeight w:val="270" w:hRule="atLeast"/>
          <w:jc w:val="center"/>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序号</w:t>
            </w:r>
          </w:p>
        </w:tc>
        <w:tc>
          <w:tcPr>
            <w:tcW w:w="1216"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hint="eastAsia" w:ascii="宋体" w:hAnsi="宋体" w:eastAsia="宋体" w:cs="Arial"/>
                <w:kern w:val="0"/>
                <w:szCs w:val="21"/>
                <w:lang w:eastAsia="zh-CN"/>
              </w:rPr>
            </w:pPr>
            <w:r>
              <w:rPr>
                <w:rFonts w:hint="eastAsia" w:ascii="宋体" w:hAnsi="宋体" w:eastAsia="宋体" w:cs="Arial"/>
                <w:kern w:val="0"/>
                <w:szCs w:val="21"/>
                <w:lang w:eastAsia="zh-CN"/>
              </w:rPr>
              <w:t>服务类别</w:t>
            </w:r>
          </w:p>
        </w:tc>
        <w:tc>
          <w:tcPr>
            <w:tcW w:w="1558"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商品名称</w:t>
            </w:r>
          </w:p>
        </w:tc>
        <w:tc>
          <w:tcPr>
            <w:tcW w:w="1219"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计量单位</w:t>
            </w:r>
          </w:p>
        </w:tc>
        <w:tc>
          <w:tcPr>
            <w:tcW w:w="1059"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数量（岗位数*</w:t>
            </w:r>
            <w:r>
              <w:rPr>
                <w:rFonts w:hint="eastAsia" w:ascii="宋体" w:hAnsi="宋体" w:eastAsia="宋体" w:cs="Arial"/>
                <w:kern w:val="0"/>
                <w:szCs w:val="21"/>
                <w:lang w:val="en-US" w:eastAsia="zh-CN"/>
              </w:rPr>
              <w:t>24</w:t>
            </w:r>
            <w:r>
              <w:rPr>
                <w:rFonts w:hint="eastAsia" w:ascii="宋体" w:hAnsi="宋体" w:eastAsia="宋体" w:cs="Arial"/>
                <w:kern w:val="0"/>
                <w:szCs w:val="21"/>
              </w:rPr>
              <w:t>个月）</w:t>
            </w:r>
          </w:p>
        </w:tc>
        <w:tc>
          <w:tcPr>
            <w:tcW w:w="54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单价（元/月）</w:t>
            </w:r>
          </w:p>
        </w:tc>
        <w:tc>
          <w:tcPr>
            <w:tcW w:w="1109" w:type="dxa"/>
            <w:tcBorders>
              <w:top w:val="single" w:color="000000" w:sz="4" w:space="0"/>
              <w:left w:val="nil"/>
              <w:bottom w:val="single" w:color="000000" w:sz="4" w:space="0"/>
              <w:right w:val="single" w:color="000000" w:sz="4" w:space="0"/>
            </w:tcBorders>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发票类型</w:t>
            </w:r>
          </w:p>
        </w:tc>
        <w:tc>
          <w:tcPr>
            <w:tcW w:w="355"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税率</w:t>
            </w:r>
          </w:p>
        </w:tc>
        <w:tc>
          <w:tcPr>
            <w:tcW w:w="883" w:type="dxa"/>
            <w:tcBorders>
              <w:top w:val="single" w:color="000000" w:sz="4" w:space="0"/>
              <w:left w:val="nil"/>
              <w:bottom w:val="single" w:color="000000" w:sz="4" w:space="0"/>
              <w:right w:val="single" w:color="000000" w:sz="4" w:space="0"/>
            </w:tcBorders>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本期含税报价（元）</w:t>
            </w:r>
          </w:p>
        </w:tc>
      </w:tr>
      <w:tr>
        <w:tblPrEx>
          <w:tblLayout w:type="fixed"/>
        </w:tblPrEx>
        <w:trPr>
          <w:trHeight w:val="416" w:hRule="atLeast"/>
          <w:jc w:val="center"/>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1</w:t>
            </w:r>
          </w:p>
        </w:tc>
        <w:tc>
          <w:tcPr>
            <w:tcW w:w="1216" w:type="dxa"/>
            <w:vMerge w:val="restart"/>
            <w:tcBorders>
              <w:top w:val="single" w:color="000000" w:sz="4" w:space="0"/>
              <w:left w:val="nil"/>
              <w:right w:val="single" w:color="000000" w:sz="4" w:space="0"/>
            </w:tcBorders>
            <w:noWrap/>
            <w:vAlign w:val="center"/>
          </w:tcPr>
          <w:p>
            <w:pPr>
              <w:widowControl/>
              <w:spacing w:line="560" w:lineRule="exact"/>
              <w:jc w:val="center"/>
              <w:rPr>
                <w:rFonts w:hint="eastAsia" w:ascii="宋体" w:hAnsi="宋体" w:eastAsia="宋体" w:cs="Arial"/>
                <w:kern w:val="0"/>
                <w:szCs w:val="21"/>
                <w:lang w:eastAsia="zh-CN"/>
              </w:rPr>
            </w:pPr>
            <w:r>
              <w:rPr>
                <w:rFonts w:hint="eastAsia" w:ascii="宋体" w:hAnsi="宋体" w:eastAsia="宋体" w:cs="Arial"/>
                <w:kern w:val="0"/>
                <w:szCs w:val="21"/>
                <w:lang w:eastAsia="zh-CN"/>
              </w:rPr>
              <w:t>餐饮服务</w:t>
            </w:r>
          </w:p>
        </w:tc>
        <w:tc>
          <w:tcPr>
            <w:tcW w:w="1558"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lang w:eastAsia="zh-CN"/>
              </w:rPr>
              <w:t>贵港</w:t>
            </w:r>
            <w:r>
              <w:rPr>
                <w:rFonts w:hint="eastAsia" w:ascii="宋体" w:hAnsi="宋体" w:eastAsia="宋体" w:cs="Arial"/>
                <w:kern w:val="0"/>
                <w:szCs w:val="21"/>
              </w:rPr>
              <w:t>分行本级餐饮服务</w:t>
            </w:r>
          </w:p>
        </w:tc>
        <w:tc>
          <w:tcPr>
            <w:tcW w:w="1219"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元/月/岗</w:t>
            </w:r>
          </w:p>
        </w:tc>
        <w:tc>
          <w:tcPr>
            <w:tcW w:w="1059" w:type="dxa"/>
            <w:tcBorders>
              <w:top w:val="single" w:color="000000" w:sz="4" w:space="0"/>
              <w:left w:val="nil"/>
              <w:bottom w:val="single" w:color="000000" w:sz="4" w:space="0"/>
              <w:right w:val="single" w:color="000000" w:sz="4" w:space="0"/>
            </w:tcBorders>
            <w:noWrap/>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72</w:t>
            </w:r>
          </w:p>
        </w:tc>
        <w:tc>
          <w:tcPr>
            <w:tcW w:w="54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color w:val="000000"/>
                <w:sz w:val="22"/>
              </w:rPr>
            </w:pPr>
            <w:r>
              <w:rPr>
                <w:rFonts w:hint="eastAsia" w:ascii="宋体" w:hAnsi="宋体" w:eastAsia="宋体" w:cs="宋体"/>
                <w:color w:val="000000"/>
                <w:sz w:val="21"/>
                <w:szCs w:val="21"/>
              </w:rPr>
              <w:t>增值税普通发票</w:t>
            </w:r>
          </w:p>
        </w:tc>
        <w:tc>
          <w:tcPr>
            <w:tcW w:w="355"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c>
          <w:tcPr>
            <w:tcW w:w="88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r>
      <w:tr>
        <w:tblPrEx>
          <w:tblLayout w:type="fixed"/>
        </w:tblPrEx>
        <w:trPr>
          <w:trHeight w:val="416" w:hRule="atLeast"/>
          <w:jc w:val="center"/>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2</w:t>
            </w:r>
          </w:p>
        </w:tc>
        <w:tc>
          <w:tcPr>
            <w:tcW w:w="1216" w:type="dxa"/>
            <w:vMerge w:val="continue"/>
            <w:tcBorders>
              <w:left w:val="nil"/>
              <w:right w:val="single" w:color="000000" w:sz="4" w:space="0"/>
            </w:tcBorders>
            <w:noWrap/>
            <w:vAlign w:val="center"/>
          </w:tcPr>
          <w:p>
            <w:pPr>
              <w:widowControl/>
              <w:spacing w:line="560" w:lineRule="exact"/>
              <w:jc w:val="center"/>
              <w:rPr>
                <w:rFonts w:hint="eastAsia" w:ascii="宋体" w:hAnsi="宋体" w:eastAsia="宋体" w:cs="Arial"/>
                <w:kern w:val="0"/>
                <w:szCs w:val="21"/>
                <w:lang w:eastAsia="zh-CN"/>
              </w:rPr>
            </w:pPr>
          </w:p>
        </w:tc>
        <w:tc>
          <w:tcPr>
            <w:tcW w:w="1558"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lang w:eastAsia="zh-CN"/>
              </w:rPr>
              <w:t>覃塘振兴</w:t>
            </w:r>
            <w:r>
              <w:rPr>
                <w:rFonts w:hint="eastAsia" w:ascii="宋体" w:hAnsi="宋体" w:eastAsia="宋体" w:cs="Arial"/>
                <w:kern w:val="0"/>
                <w:szCs w:val="21"/>
              </w:rPr>
              <w:t>支行餐饮服务</w:t>
            </w:r>
          </w:p>
        </w:tc>
        <w:tc>
          <w:tcPr>
            <w:tcW w:w="1219" w:type="dxa"/>
            <w:tcBorders>
              <w:top w:val="single" w:color="000000" w:sz="4" w:space="0"/>
              <w:left w:val="nil"/>
              <w:bottom w:val="single" w:color="000000" w:sz="4" w:space="0"/>
              <w:right w:val="single" w:color="000000" w:sz="4" w:space="0"/>
            </w:tcBorders>
            <w:noWrap/>
            <w:vAlign w:val="center"/>
          </w:tcPr>
          <w:p>
            <w:pPr>
              <w:spacing w:line="560" w:lineRule="exact"/>
              <w:jc w:val="center"/>
              <w:rPr>
                <w:rFonts w:ascii="宋体" w:hAnsi="宋体" w:eastAsia="宋体" w:cs="Arial"/>
                <w:kern w:val="0"/>
                <w:szCs w:val="21"/>
              </w:rPr>
            </w:pPr>
            <w:r>
              <w:rPr>
                <w:rFonts w:hint="eastAsia" w:ascii="宋体" w:hAnsi="宋体" w:eastAsia="宋体" w:cs="Arial"/>
                <w:kern w:val="0"/>
                <w:szCs w:val="21"/>
              </w:rPr>
              <w:t>元/月/岗</w:t>
            </w:r>
          </w:p>
        </w:tc>
        <w:tc>
          <w:tcPr>
            <w:tcW w:w="1059" w:type="dxa"/>
            <w:tcBorders>
              <w:top w:val="single" w:color="000000" w:sz="4" w:space="0"/>
              <w:left w:val="nil"/>
              <w:bottom w:val="single" w:color="000000" w:sz="4" w:space="0"/>
              <w:right w:val="single" w:color="000000" w:sz="4" w:space="0"/>
            </w:tcBorders>
            <w:noWrap/>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24</w:t>
            </w:r>
          </w:p>
        </w:tc>
        <w:tc>
          <w:tcPr>
            <w:tcW w:w="543"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sz w:val="20"/>
                <w:szCs w:val="20"/>
              </w:rPr>
            </w:pPr>
          </w:p>
        </w:tc>
        <w:tc>
          <w:tcPr>
            <w:tcW w:w="1109" w:type="dxa"/>
            <w:tcBorders>
              <w:top w:val="single" w:color="000000" w:sz="4" w:space="0"/>
              <w:left w:val="nil"/>
              <w:bottom w:val="single" w:color="000000" w:sz="4" w:space="0"/>
              <w:right w:val="single" w:color="000000" w:sz="4" w:space="0"/>
            </w:tcBorders>
          </w:tcPr>
          <w:p>
            <w:r>
              <w:rPr>
                <w:rFonts w:hint="eastAsia"/>
              </w:rPr>
              <w:t>增值税普通发票</w:t>
            </w:r>
          </w:p>
        </w:tc>
        <w:tc>
          <w:tcPr>
            <w:tcW w:w="355"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c>
          <w:tcPr>
            <w:tcW w:w="88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r>
      <w:tr>
        <w:tblPrEx>
          <w:tblLayout w:type="fixed"/>
        </w:tblPrEx>
        <w:trPr>
          <w:trHeight w:val="270" w:hRule="atLeast"/>
          <w:jc w:val="center"/>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3</w:t>
            </w:r>
          </w:p>
        </w:tc>
        <w:tc>
          <w:tcPr>
            <w:tcW w:w="1216" w:type="dxa"/>
            <w:vMerge w:val="continue"/>
            <w:tcBorders>
              <w:left w:val="nil"/>
              <w:right w:val="single" w:color="000000" w:sz="4" w:space="0"/>
            </w:tcBorders>
            <w:noWrap/>
            <w:vAlign w:val="center"/>
          </w:tcPr>
          <w:p>
            <w:pPr>
              <w:widowControl/>
              <w:spacing w:line="560" w:lineRule="exact"/>
              <w:jc w:val="center"/>
              <w:rPr>
                <w:rFonts w:hint="eastAsia" w:ascii="宋体" w:hAnsi="宋体" w:eastAsia="宋体" w:cs="Arial"/>
                <w:kern w:val="0"/>
                <w:szCs w:val="21"/>
                <w:lang w:eastAsia="zh-CN"/>
              </w:rPr>
            </w:pPr>
          </w:p>
        </w:tc>
        <w:tc>
          <w:tcPr>
            <w:tcW w:w="1558"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lang w:eastAsia="zh-CN"/>
              </w:rPr>
              <w:t>桂平</w:t>
            </w:r>
            <w:r>
              <w:rPr>
                <w:rFonts w:hint="eastAsia" w:ascii="宋体" w:hAnsi="宋体" w:eastAsia="宋体" w:cs="Arial"/>
                <w:kern w:val="0"/>
                <w:szCs w:val="21"/>
              </w:rPr>
              <w:t>支行餐饮服务</w:t>
            </w:r>
          </w:p>
        </w:tc>
        <w:tc>
          <w:tcPr>
            <w:tcW w:w="1219" w:type="dxa"/>
            <w:tcBorders>
              <w:top w:val="single" w:color="000000" w:sz="4" w:space="0"/>
              <w:left w:val="nil"/>
              <w:bottom w:val="single" w:color="000000" w:sz="4" w:space="0"/>
              <w:right w:val="single" w:color="000000" w:sz="4" w:space="0"/>
            </w:tcBorders>
            <w:noWrap/>
            <w:vAlign w:val="center"/>
          </w:tcPr>
          <w:p>
            <w:pPr>
              <w:spacing w:line="560" w:lineRule="exact"/>
              <w:jc w:val="center"/>
              <w:rPr>
                <w:rFonts w:ascii="宋体" w:hAnsi="宋体" w:eastAsia="宋体" w:cs="Arial"/>
                <w:kern w:val="0"/>
                <w:szCs w:val="21"/>
              </w:rPr>
            </w:pPr>
            <w:r>
              <w:rPr>
                <w:rFonts w:hint="eastAsia" w:ascii="宋体" w:hAnsi="宋体" w:eastAsia="宋体" w:cs="Arial"/>
                <w:kern w:val="0"/>
                <w:szCs w:val="21"/>
              </w:rPr>
              <w:t>元/月/岗</w:t>
            </w:r>
          </w:p>
        </w:tc>
        <w:tc>
          <w:tcPr>
            <w:tcW w:w="1059" w:type="dxa"/>
            <w:tcBorders>
              <w:top w:val="single" w:color="000000" w:sz="4" w:space="0"/>
              <w:left w:val="nil"/>
              <w:bottom w:val="single" w:color="000000" w:sz="4" w:space="0"/>
              <w:right w:val="single" w:color="000000" w:sz="4" w:space="0"/>
            </w:tcBorders>
            <w:noWrap/>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24</w:t>
            </w:r>
          </w:p>
        </w:tc>
        <w:tc>
          <w:tcPr>
            <w:tcW w:w="543"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宋体"/>
                <w:sz w:val="20"/>
                <w:szCs w:val="20"/>
              </w:rPr>
            </w:pPr>
          </w:p>
        </w:tc>
        <w:tc>
          <w:tcPr>
            <w:tcW w:w="1109" w:type="dxa"/>
            <w:tcBorders>
              <w:top w:val="single" w:color="000000" w:sz="4" w:space="0"/>
              <w:left w:val="nil"/>
              <w:bottom w:val="single" w:color="000000" w:sz="4" w:space="0"/>
              <w:right w:val="single" w:color="000000" w:sz="4" w:space="0"/>
            </w:tcBorders>
          </w:tcPr>
          <w:p>
            <w:r>
              <w:rPr>
                <w:rFonts w:hint="eastAsia"/>
              </w:rPr>
              <w:t>增值税普通发票</w:t>
            </w:r>
          </w:p>
        </w:tc>
        <w:tc>
          <w:tcPr>
            <w:tcW w:w="355"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c>
          <w:tcPr>
            <w:tcW w:w="88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r>
      <w:tr>
        <w:tblPrEx>
          <w:tblLayout w:type="fixed"/>
        </w:tblPrEx>
        <w:trPr>
          <w:trHeight w:val="932" w:hRule="atLeast"/>
          <w:jc w:val="center"/>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4</w:t>
            </w:r>
          </w:p>
        </w:tc>
        <w:tc>
          <w:tcPr>
            <w:tcW w:w="1216" w:type="dxa"/>
            <w:vMerge w:val="continue"/>
            <w:tcBorders>
              <w:left w:val="nil"/>
              <w:bottom w:val="single" w:color="000000" w:sz="4" w:space="0"/>
              <w:right w:val="single" w:color="000000" w:sz="4" w:space="0"/>
            </w:tcBorders>
            <w:noWrap/>
            <w:vAlign w:val="center"/>
          </w:tcPr>
          <w:p>
            <w:pPr>
              <w:widowControl/>
              <w:spacing w:line="560" w:lineRule="exact"/>
              <w:jc w:val="center"/>
              <w:rPr>
                <w:rFonts w:hint="eastAsia" w:ascii="宋体" w:hAnsi="宋体" w:eastAsia="宋体" w:cs="Arial"/>
                <w:kern w:val="0"/>
                <w:szCs w:val="21"/>
                <w:lang w:eastAsia="zh-CN"/>
              </w:rPr>
            </w:pPr>
          </w:p>
        </w:tc>
        <w:tc>
          <w:tcPr>
            <w:tcW w:w="1558"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lang w:eastAsia="zh-CN"/>
              </w:rPr>
              <w:t>平南</w:t>
            </w:r>
            <w:r>
              <w:rPr>
                <w:rFonts w:hint="eastAsia" w:ascii="宋体" w:hAnsi="宋体" w:eastAsia="宋体" w:cs="Arial"/>
                <w:kern w:val="0"/>
                <w:szCs w:val="21"/>
              </w:rPr>
              <w:t>支行餐饮服务</w:t>
            </w:r>
          </w:p>
        </w:tc>
        <w:tc>
          <w:tcPr>
            <w:tcW w:w="1219" w:type="dxa"/>
            <w:tcBorders>
              <w:top w:val="single" w:color="000000" w:sz="4" w:space="0"/>
              <w:left w:val="nil"/>
              <w:bottom w:val="single" w:color="000000" w:sz="4" w:space="0"/>
              <w:right w:val="single" w:color="000000" w:sz="4" w:space="0"/>
            </w:tcBorders>
            <w:noWrap/>
            <w:vAlign w:val="center"/>
          </w:tcPr>
          <w:p>
            <w:pPr>
              <w:spacing w:line="560" w:lineRule="exact"/>
              <w:jc w:val="center"/>
              <w:rPr>
                <w:rFonts w:ascii="宋体" w:hAnsi="宋体" w:eastAsia="宋体" w:cs="Arial"/>
                <w:kern w:val="0"/>
                <w:szCs w:val="21"/>
              </w:rPr>
            </w:pPr>
            <w:r>
              <w:rPr>
                <w:rFonts w:hint="eastAsia" w:ascii="宋体" w:hAnsi="宋体" w:eastAsia="宋体" w:cs="Arial"/>
                <w:kern w:val="0"/>
                <w:szCs w:val="21"/>
              </w:rPr>
              <w:t>元/月/岗</w:t>
            </w:r>
          </w:p>
        </w:tc>
        <w:tc>
          <w:tcPr>
            <w:tcW w:w="1059" w:type="dxa"/>
            <w:tcBorders>
              <w:top w:val="single" w:color="000000" w:sz="4" w:space="0"/>
              <w:left w:val="nil"/>
              <w:bottom w:val="single" w:color="000000" w:sz="4" w:space="0"/>
              <w:right w:val="single" w:color="000000" w:sz="4" w:space="0"/>
            </w:tcBorders>
            <w:noWrap/>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24</w:t>
            </w:r>
          </w:p>
        </w:tc>
        <w:tc>
          <w:tcPr>
            <w:tcW w:w="54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c>
          <w:tcPr>
            <w:tcW w:w="1109" w:type="dxa"/>
            <w:tcBorders>
              <w:top w:val="single" w:color="000000" w:sz="4" w:space="0"/>
              <w:left w:val="nil"/>
              <w:bottom w:val="single" w:color="000000" w:sz="4" w:space="0"/>
              <w:right w:val="single" w:color="000000" w:sz="4" w:space="0"/>
            </w:tcBorders>
          </w:tcPr>
          <w:p>
            <w:r>
              <w:rPr>
                <w:rFonts w:hint="eastAsia"/>
              </w:rPr>
              <w:t>增值税普通发票</w:t>
            </w:r>
          </w:p>
        </w:tc>
        <w:tc>
          <w:tcPr>
            <w:tcW w:w="355"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c>
          <w:tcPr>
            <w:tcW w:w="88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r>
      <w:tr>
        <w:tblPrEx>
          <w:tblLayout w:type="fixed"/>
        </w:tblPrEx>
        <w:trPr>
          <w:trHeight w:val="270" w:hRule="atLeast"/>
          <w:jc w:val="center"/>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eastAsia="宋体" w:cs="Arial"/>
                <w:kern w:val="0"/>
                <w:szCs w:val="21"/>
                <w:lang w:eastAsia="zh-CN"/>
              </w:rPr>
            </w:pPr>
            <w:r>
              <w:rPr>
                <w:rFonts w:hint="eastAsia" w:ascii="宋体" w:hAnsi="宋体" w:eastAsia="宋体" w:cs="Arial"/>
                <w:kern w:val="0"/>
                <w:szCs w:val="21"/>
                <w:lang w:val="en-US" w:eastAsia="zh-CN"/>
              </w:rPr>
              <w:t>5</w:t>
            </w:r>
          </w:p>
        </w:tc>
        <w:tc>
          <w:tcPr>
            <w:tcW w:w="1216" w:type="dxa"/>
            <w:vMerge w:val="restart"/>
            <w:tcBorders>
              <w:top w:val="single" w:color="000000" w:sz="4" w:space="0"/>
              <w:left w:val="nil"/>
              <w:right w:val="single" w:color="000000" w:sz="4" w:space="0"/>
            </w:tcBorders>
            <w:noWrap/>
            <w:vAlign w:val="center"/>
          </w:tcPr>
          <w:p>
            <w:pPr>
              <w:widowControl/>
              <w:spacing w:line="560" w:lineRule="exact"/>
              <w:jc w:val="center"/>
              <w:rPr>
                <w:rFonts w:hint="eastAsia" w:ascii="宋体" w:hAnsi="宋体" w:eastAsia="宋体" w:cs="Arial"/>
                <w:kern w:val="0"/>
                <w:szCs w:val="21"/>
              </w:rPr>
            </w:pPr>
            <w:r>
              <w:rPr>
                <w:rFonts w:hint="eastAsia" w:ascii="宋体" w:hAnsi="宋体" w:eastAsia="宋体" w:cs="Arial"/>
                <w:kern w:val="0"/>
                <w:szCs w:val="21"/>
              </w:rPr>
              <w:t>配送服务</w:t>
            </w:r>
          </w:p>
        </w:tc>
        <w:tc>
          <w:tcPr>
            <w:tcW w:w="1558"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eastAsia="宋体" w:cs="Arial"/>
                <w:kern w:val="0"/>
                <w:sz w:val="21"/>
                <w:szCs w:val="21"/>
              </w:rPr>
            </w:pPr>
            <w:r>
              <w:rPr>
                <w:rFonts w:hint="eastAsia" w:ascii="宋体" w:hAnsi="宋体" w:eastAsia="宋体" w:cs="宋体"/>
                <w:i w:val="0"/>
                <w:color w:val="000000"/>
                <w:kern w:val="0"/>
                <w:sz w:val="21"/>
                <w:szCs w:val="21"/>
                <w:u w:val="none"/>
                <w:lang w:val="en-US" w:eastAsia="zh-CN" w:bidi="ar"/>
              </w:rPr>
              <w:t>贵港分行本级城区各支行</w:t>
            </w:r>
          </w:p>
        </w:tc>
        <w:tc>
          <w:tcPr>
            <w:tcW w:w="1219" w:type="dxa"/>
            <w:tcBorders>
              <w:top w:val="single" w:color="000000" w:sz="4" w:space="0"/>
              <w:left w:val="nil"/>
              <w:bottom w:val="single" w:color="000000" w:sz="4" w:space="0"/>
              <w:right w:val="single" w:color="000000" w:sz="4" w:space="0"/>
            </w:tcBorders>
            <w:noWrap/>
            <w:vAlign w:val="center"/>
          </w:tcPr>
          <w:p>
            <w:pPr>
              <w:spacing w:line="560" w:lineRule="exact"/>
              <w:jc w:val="center"/>
              <w:rPr>
                <w:rFonts w:hint="eastAsia" w:ascii="宋体" w:hAnsi="宋体" w:eastAsia="宋体" w:cs="Arial"/>
                <w:kern w:val="0"/>
                <w:sz w:val="21"/>
                <w:szCs w:val="21"/>
                <w:lang w:eastAsia="zh-CN"/>
              </w:rPr>
            </w:pPr>
            <w:r>
              <w:rPr>
                <w:rFonts w:hint="eastAsia" w:ascii="宋体" w:hAnsi="宋体" w:eastAsia="宋体" w:cs="Arial"/>
                <w:kern w:val="0"/>
                <w:sz w:val="21"/>
                <w:szCs w:val="21"/>
              </w:rPr>
              <w:t>元/月/</w:t>
            </w:r>
            <w:r>
              <w:rPr>
                <w:rFonts w:hint="eastAsia" w:ascii="宋体" w:hAnsi="宋体" w:eastAsia="宋体" w:cs="Arial"/>
                <w:kern w:val="0"/>
                <w:sz w:val="21"/>
                <w:szCs w:val="21"/>
                <w:lang w:eastAsia="zh-CN"/>
              </w:rPr>
              <w:t>点</w:t>
            </w:r>
          </w:p>
        </w:tc>
        <w:tc>
          <w:tcPr>
            <w:tcW w:w="1059" w:type="dxa"/>
            <w:tcBorders>
              <w:top w:val="single" w:color="000000" w:sz="4" w:space="0"/>
              <w:left w:val="nil"/>
              <w:bottom w:val="single" w:color="000000" w:sz="4" w:space="0"/>
              <w:right w:val="single" w:color="000000" w:sz="4" w:space="0"/>
            </w:tcBorders>
            <w:noWrap/>
            <w:vAlign w:val="center"/>
          </w:tcPr>
          <w:p>
            <w:pPr>
              <w:spacing w:line="560" w:lineRule="exact"/>
              <w:jc w:val="center"/>
              <w:rPr>
                <w:rFonts w:ascii="宋体" w:hAnsi="宋体" w:eastAsia="宋体" w:cs="Arial"/>
                <w:kern w:val="0"/>
                <w:sz w:val="21"/>
                <w:szCs w:val="21"/>
              </w:rPr>
            </w:pPr>
            <w:r>
              <w:rPr>
                <w:rFonts w:hint="eastAsia" w:ascii="宋体" w:hAnsi="宋体" w:eastAsia="宋体" w:cs="宋体"/>
                <w:color w:val="000000"/>
                <w:sz w:val="21"/>
                <w:szCs w:val="21"/>
                <w:lang w:val="en-US" w:eastAsia="zh-CN"/>
              </w:rPr>
              <w:t>24</w:t>
            </w:r>
          </w:p>
        </w:tc>
        <w:tc>
          <w:tcPr>
            <w:tcW w:w="54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 w:val="21"/>
                <w:szCs w:val="21"/>
              </w:rPr>
            </w:pPr>
          </w:p>
        </w:tc>
        <w:tc>
          <w:tcPr>
            <w:tcW w:w="1109" w:type="dxa"/>
            <w:tcBorders>
              <w:top w:val="single" w:color="000000" w:sz="4" w:space="0"/>
              <w:left w:val="nil"/>
              <w:bottom w:val="single" w:color="000000" w:sz="4" w:space="0"/>
              <w:right w:val="single" w:color="000000" w:sz="4" w:space="0"/>
            </w:tcBorders>
            <w:vAlign w:val="center"/>
          </w:tcPr>
          <w:p>
            <w:pPr>
              <w:jc w:val="center"/>
              <w:rPr>
                <w:color w:val="000000"/>
                <w:sz w:val="22"/>
              </w:rPr>
            </w:pPr>
            <w:r>
              <w:rPr>
                <w:rFonts w:hint="eastAsia"/>
              </w:rPr>
              <w:t>增值税普通发票</w:t>
            </w:r>
          </w:p>
        </w:tc>
        <w:tc>
          <w:tcPr>
            <w:tcW w:w="355"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c>
          <w:tcPr>
            <w:tcW w:w="88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r>
      <w:tr>
        <w:tblPrEx>
          <w:tblLayout w:type="fixed"/>
        </w:tblPrEx>
        <w:trPr>
          <w:trHeight w:val="270" w:hRule="atLeast"/>
          <w:jc w:val="center"/>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eastAsia="宋体" w:cs="Arial"/>
                <w:kern w:val="0"/>
                <w:szCs w:val="21"/>
                <w:lang w:val="en-US" w:eastAsia="zh-CN"/>
              </w:rPr>
            </w:pPr>
            <w:r>
              <w:rPr>
                <w:rFonts w:hint="eastAsia" w:ascii="宋体" w:hAnsi="宋体" w:eastAsia="宋体" w:cs="Arial"/>
                <w:kern w:val="0"/>
                <w:szCs w:val="21"/>
                <w:lang w:val="en-US" w:eastAsia="zh-CN"/>
              </w:rPr>
              <w:t>6</w:t>
            </w:r>
          </w:p>
        </w:tc>
        <w:tc>
          <w:tcPr>
            <w:tcW w:w="1216" w:type="dxa"/>
            <w:vMerge w:val="continue"/>
            <w:tcBorders>
              <w:left w:val="nil"/>
              <w:right w:val="single" w:color="000000" w:sz="4" w:space="0"/>
            </w:tcBorders>
            <w:noWrap/>
            <w:vAlign w:val="center"/>
          </w:tcPr>
          <w:p>
            <w:pPr>
              <w:widowControl/>
              <w:spacing w:line="560" w:lineRule="exact"/>
              <w:jc w:val="center"/>
              <w:rPr>
                <w:rFonts w:hint="eastAsia" w:ascii="宋体" w:hAnsi="宋体" w:eastAsia="宋体" w:cs="Arial"/>
                <w:kern w:val="0"/>
                <w:szCs w:val="21"/>
              </w:rPr>
            </w:pPr>
          </w:p>
        </w:tc>
        <w:tc>
          <w:tcPr>
            <w:tcW w:w="1558"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Arial"/>
                <w:kern w:val="0"/>
                <w:sz w:val="21"/>
                <w:szCs w:val="21"/>
              </w:rPr>
            </w:pPr>
            <w:r>
              <w:rPr>
                <w:rFonts w:hint="eastAsia" w:ascii="宋体" w:hAnsi="宋体" w:eastAsia="宋体" w:cs="宋体"/>
                <w:i w:val="0"/>
                <w:color w:val="000000"/>
                <w:kern w:val="0"/>
                <w:sz w:val="21"/>
                <w:szCs w:val="21"/>
                <w:u w:val="none"/>
                <w:lang w:val="en-US" w:eastAsia="zh-CN" w:bidi="ar"/>
              </w:rPr>
              <w:t>覃塘支行</w:t>
            </w:r>
          </w:p>
        </w:tc>
        <w:tc>
          <w:tcPr>
            <w:tcW w:w="1219" w:type="dxa"/>
            <w:tcBorders>
              <w:top w:val="single" w:color="000000" w:sz="4" w:space="0"/>
              <w:left w:val="nil"/>
              <w:bottom w:val="single" w:color="000000" w:sz="4" w:space="0"/>
              <w:right w:val="single" w:color="000000" w:sz="4" w:space="0"/>
            </w:tcBorders>
            <w:noWrap/>
            <w:vAlign w:val="center"/>
          </w:tcPr>
          <w:p>
            <w:pPr>
              <w:spacing w:line="560" w:lineRule="exact"/>
              <w:jc w:val="center"/>
              <w:rPr>
                <w:rFonts w:hint="eastAsia" w:ascii="宋体" w:hAnsi="宋体" w:eastAsia="宋体" w:cs="Arial"/>
                <w:kern w:val="0"/>
                <w:sz w:val="21"/>
                <w:szCs w:val="21"/>
                <w:lang w:eastAsia="zh-CN"/>
              </w:rPr>
            </w:pPr>
            <w:r>
              <w:rPr>
                <w:rFonts w:hint="eastAsia" w:ascii="宋体" w:hAnsi="宋体" w:eastAsia="宋体" w:cs="Arial"/>
                <w:kern w:val="0"/>
                <w:sz w:val="21"/>
                <w:szCs w:val="21"/>
              </w:rPr>
              <w:t>元/月/</w:t>
            </w:r>
            <w:r>
              <w:rPr>
                <w:rFonts w:hint="eastAsia" w:ascii="宋体" w:hAnsi="宋体" w:eastAsia="宋体" w:cs="Arial"/>
                <w:kern w:val="0"/>
                <w:sz w:val="21"/>
                <w:szCs w:val="21"/>
                <w:lang w:eastAsia="zh-CN"/>
              </w:rPr>
              <w:t>点</w:t>
            </w:r>
          </w:p>
        </w:tc>
        <w:tc>
          <w:tcPr>
            <w:tcW w:w="1059" w:type="dxa"/>
            <w:tcBorders>
              <w:top w:val="single" w:color="000000" w:sz="4" w:space="0"/>
              <w:left w:val="nil"/>
              <w:bottom w:val="single" w:color="000000" w:sz="4" w:space="0"/>
              <w:right w:val="single" w:color="000000" w:sz="4" w:space="0"/>
            </w:tcBorders>
            <w:noWrap/>
            <w:vAlign w:val="center"/>
          </w:tcPr>
          <w:p>
            <w:pPr>
              <w:spacing w:line="560" w:lineRule="exact"/>
              <w:jc w:val="center"/>
              <w:rPr>
                <w:rFonts w:ascii="宋体" w:hAnsi="宋体" w:eastAsia="宋体" w:cs="Arial"/>
                <w:kern w:val="0"/>
                <w:sz w:val="21"/>
                <w:szCs w:val="21"/>
              </w:rPr>
            </w:pPr>
            <w:r>
              <w:rPr>
                <w:rFonts w:hint="eastAsia" w:ascii="宋体" w:hAnsi="宋体" w:eastAsia="宋体" w:cs="宋体"/>
                <w:color w:val="000000"/>
                <w:sz w:val="21"/>
                <w:szCs w:val="21"/>
                <w:lang w:val="en-US" w:eastAsia="zh-CN"/>
              </w:rPr>
              <w:t>24</w:t>
            </w:r>
          </w:p>
        </w:tc>
        <w:tc>
          <w:tcPr>
            <w:tcW w:w="54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 w:val="21"/>
                <w:szCs w:val="21"/>
              </w:rPr>
            </w:pPr>
          </w:p>
        </w:tc>
        <w:tc>
          <w:tcPr>
            <w:tcW w:w="1109" w:type="dxa"/>
            <w:tcBorders>
              <w:top w:val="single" w:color="000000" w:sz="4" w:space="0"/>
              <w:left w:val="nil"/>
              <w:bottom w:val="single" w:color="000000" w:sz="4" w:space="0"/>
              <w:right w:val="single" w:color="000000" w:sz="4" w:space="0"/>
            </w:tcBorders>
            <w:vAlign w:val="center"/>
          </w:tcPr>
          <w:p>
            <w:pPr>
              <w:jc w:val="center"/>
              <w:rPr>
                <w:color w:val="000000"/>
                <w:sz w:val="22"/>
              </w:rPr>
            </w:pPr>
            <w:r>
              <w:rPr>
                <w:rFonts w:hint="eastAsia"/>
              </w:rPr>
              <w:t>增值税普通发票</w:t>
            </w:r>
          </w:p>
        </w:tc>
        <w:tc>
          <w:tcPr>
            <w:tcW w:w="355"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c>
          <w:tcPr>
            <w:tcW w:w="88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r>
      <w:tr>
        <w:tblPrEx>
          <w:tblLayout w:type="fixed"/>
        </w:tblPrEx>
        <w:trPr>
          <w:trHeight w:val="270" w:hRule="atLeast"/>
          <w:jc w:val="center"/>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eastAsia" w:ascii="宋体" w:hAnsi="宋体" w:eastAsia="宋体" w:cs="Arial"/>
                <w:kern w:val="0"/>
                <w:szCs w:val="21"/>
              </w:rPr>
            </w:pPr>
            <w:bookmarkStart w:id="0" w:name="_GoBack"/>
            <w:bookmarkEnd w:id="0"/>
          </w:p>
        </w:tc>
        <w:tc>
          <w:tcPr>
            <w:tcW w:w="1216"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hint="eastAsia" w:ascii="宋体" w:hAnsi="宋体" w:eastAsia="宋体" w:cs="Arial"/>
                <w:kern w:val="0"/>
                <w:szCs w:val="21"/>
              </w:rPr>
            </w:pPr>
          </w:p>
        </w:tc>
        <w:tc>
          <w:tcPr>
            <w:tcW w:w="1558"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hint="eastAsia" w:ascii="宋体" w:hAnsi="宋体" w:eastAsia="宋体" w:cs="Arial"/>
                <w:kern w:val="0"/>
                <w:szCs w:val="21"/>
              </w:rPr>
            </w:pPr>
            <w:r>
              <w:rPr>
                <w:rFonts w:hint="eastAsia" w:ascii="宋体" w:hAnsi="宋体" w:eastAsia="宋体" w:cs="Arial"/>
                <w:kern w:val="0"/>
                <w:szCs w:val="21"/>
              </w:rPr>
              <w:t>汇总报价</w:t>
            </w:r>
          </w:p>
        </w:tc>
        <w:tc>
          <w:tcPr>
            <w:tcW w:w="1219" w:type="dxa"/>
            <w:tcBorders>
              <w:top w:val="single" w:color="000000" w:sz="4" w:space="0"/>
              <w:left w:val="nil"/>
              <w:bottom w:val="single" w:color="000000" w:sz="4" w:space="0"/>
              <w:right w:val="single" w:color="000000" w:sz="4" w:space="0"/>
            </w:tcBorders>
            <w:noWrap/>
            <w:vAlign w:val="center"/>
          </w:tcPr>
          <w:p>
            <w:pPr>
              <w:spacing w:line="560" w:lineRule="exact"/>
              <w:jc w:val="center"/>
              <w:rPr>
                <w:rFonts w:ascii="宋体" w:hAnsi="宋体" w:eastAsia="宋体" w:cs="Arial"/>
                <w:kern w:val="0"/>
                <w:sz w:val="18"/>
                <w:szCs w:val="18"/>
              </w:rPr>
            </w:pPr>
          </w:p>
        </w:tc>
        <w:tc>
          <w:tcPr>
            <w:tcW w:w="1059" w:type="dxa"/>
            <w:tcBorders>
              <w:top w:val="single" w:color="000000" w:sz="4" w:space="0"/>
              <w:left w:val="nil"/>
              <w:bottom w:val="single" w:color="000000" w:sz="4" w:space="0"/>
              <w:right w:val="single" w:color="000000" w:sz="4" w:space="0"/>
            </w:tcBorders>
            <w:noWrap/>
            <w:vAlign w:val="center"/>
          </w:tcPr>
          <w:p>
            <w:pPr>
              <w:spacing w:line="560" w:lineRule="exact"/>
              <w:jc w:val="center"/>
              <w:rPr>
                <w:rFonts w:ascii="宋体" w:hAnsi="宋体" w:eastAsia="宋体" w:cs="Arial"/>
                <w:kern w:val="0"/>
                <w:szCs w:val="21"/>
              </w:rPr>
            </w:pPr>
          </w:p>
        </w:tc>
        <w:tc>
          <w:tcPr>
            <w:tcW w:w="54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c>
          <w:tcPr>
            <w:tcW w:w="1109" w:type="dxa"/>
            <w:tcBorders>
              <w:top w:val="single" w:color="000000" w:sz="4" w:space="0"/>
              <w:left w:val="nil"/>
              <w:bottom w:val="single" w:color="000000" w:sz="4" w:space="0"/>
              <w:right w:val="single" w:color="000000" w:sz="4" w:space="0"/>
            </w:tcBorders>
            <w:vAlign w:val="center"/>
          </w:tcPr>
          <w:p>
            <w:pPr>
              <w:jc w:val="center"/>
              <w:rPr>
                <w:color w:val="000000"/>
                <w:sz w:val="22"/>
              </w:rPr>
            </w:pPr>
          </w:p>
        </w:tc>
        <w:tc>
          <w:tcPr>
            <w:tcW w:w="355"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c>
          <w:tcPr>
            <w:tcW w:w="883" w:type="dxa"/>
            <w:tcBorders>
              <w:top w:val="single" w:color="000000" w:sz="4" w:space="0"/>
              <w:left w:val="nil"/>
              <w:bottom w:val="single" w:color="000000" w:sz="4" w:space="0"/>
              <w:right w:val="single" w:color="000000" w:sz="4" w:space="0"/>
            </w:tcBorders>
          </w:tcPr>
          <w:p>
            <w:pPr>
              <w:widowControl/>
              <w:spacing w:line="560" w:lineRule="exact"/>
              <w:jc w:val="center"/>
              <w:rPr>
                <w:rFonts w:ascii="宋体" w:hAnsi="宋体" w:eastAsia="宋体" w:cs="Arial"/>
                <w:kern w:val="0"/>
                <w:szCs w:val="21"/>
              </w:rPr>
            </w:pPr>
          </w:p>
        </w:tc>
      </w:tr>
    </w:tbl>
    <w:p>
      <w:pPr>
        <w:adjustRightInd w:val="0"/>
        <w:snapToGrid w:val="0"/>
        <w:spacing w:line="360" w:lineRule="auto"/>
        <w:ind w:firstLine="640" w:firstLineChars="200"/>
        <w:rPr>
          <w:rFonts w:hint="default" w:ascii="彩虹粗仿宋" w:eastAsia="彩虹粗仿宋"/>
          <w:color w:val="000000" w:themeColor="text1"/>
          <w:sz w:val="32"/>
          <w:szCs w:val="32"/>
          <w:lang w:val="en-US" w:eastAsia="zh-CN"/>
          <w14:textFill>
            <w14:solidFill>
              <w14:schemeClr w14:val="tx1"/>
            </w14:solidFill>
          </w14:textFill>
        </w:rPr>
      </w:pPr>
      <w:r>
        <w:rPr>
          <w:rFonts w:hint="eastAsia" w:ascii="彩虹粗仿宋" w:eastAsia="彩虹粗仿宋"/>
          <w:color w:val="000000" w:themeColor="text1"/>
          <w:sz w:val="32"/>
          <w:szCs w:val="32"/>
          <w:lang w:eastAsia="zh-CN"/>
          <w14:textFill>
            <w14:solidFill>
              <w14:schemeClr w14:val="tx1"/>
            </w14:solidFill>
          </w14:textFill>
        </w:rPr>
        <w:t>贵港</w:t>
      </w:r>
      <w:r>
        <w:rPr>
          <w:rFonts w:hint="eastAsia" w:ascii="彩虹粗仿宋" w:eastAsia="彩虹粗仿宋"/>
          <w:color w:val="000000" w:themeColor="text1"/>
          <w:sz w:val="32"/>
          <w:szCs w:val="32"/>
          <w14:textFill>
            <w14:solidFill>
              <w14:schemeClr w14:val="tx1"/>
            </w14:solidFill>
          </w14:textFill>
        </w:rPr>
        <w:t>分行本级食堂岗位3人，县支行</w:t>
      </w:r>
      <w:r>
        <w:rPr>
          <w:rFonts w:hint="eastAsia" w:ascii="彩虹粗仿宋" w:eastAsia="彩虹粗仿宋"/>
          <w:color w:val="000000" w:themeColor="text1"/>
          <w:sz w:val="32"/>
          <w:szCs w:val="32"/>
          <w:lang w:eastAsia="zh-CN"/>
          <w14:textFill>
            <w14:solidFill>
              <w14:schemeClr w14:val="tx1"/>
            </w14:solidFill>
          </w14:textFill>
        </w:rPr>
        <w:t>及网点加工间</w:t>
      </w:r>
      <w:r>
        <w:rPr>
          <w:rFonts w:hint="eastAsia" w:ascii="彩虹粗仿宋" w:eastAsia="彩虹粗仿宋"/>
          <w:color w:val="000000" w:themeColor="text1"/>
          <w:sz w:val="32"/>
          <w:szCs w:val="32"/>
          <w14:textFill>
            <w14:solidFill>
              <w14:schemeClr w14:val="tx1"/>
            </w14:solidFill>
          </w14:textFill>
        </w:rPr>
        <w:t>岗位各1人。本级送餐配送网点</w:t>
      </w:r>
      <w:r>
        <w:rPr>
          <w:rFonts w:hint="eastAsia" w:ascii="彩虹粗仿宋" w:eastAsia="彩虹粗仿宋"/>
          <w:color w:val="000000" w:themeColor="text1"/>
          <w:sz w:val="32"/>
          <w:szCs w:val="32"/>
          <w:lang w:val="en-US" w:eastAsia="zh-CN"/>
          <w14:textFill>
            <w14:solidFill>
              <w14:schemeClr w14:val="tx1"/>
            </w14:solidFill>
          </w14:textFill>
        </w:rPr>
        <w:t>8</w:t>
      </w:r>
      <w:r>
        <w:rPr>
          <w:rFonts w:hint="eastAsia" w:ascii="彩虹粗仿宋" w:eastAsia="彩虹粗仿宋"/>
          <w:color w:val="000000" w:themeColor="text1"/>
          <w:sz w:val="32"/>
          <w:szCs w:val="32"/>
          <w14:textFill>
            <w14:solidFill>
              <w14:schemeClr w14:val="tx1"/>
            </w14:solidFill>
          </w14:textFill>
        </w:rPr>
        <w:t>个，</w:t>
      </w:r>
      <w:r>
        <w:rPr>
          <w:rFonts w:hint="eastAsia" w:ascii="彩虹粗仿宋" w:eastAsia="彩虹粗仿宋"/>
          <w:color w:val="000000" w:themeColor="text1"/>
          <w:sz w:val="32"/>
          <w:szCs w:val="32"/>
          <w:lang w:eastAsia="zh-CN"/>
          <w14:textFill>
            <w14:solidFill>
              <w14:schemeClr w14:val="tx1"/>
            </w14:solidFill>
          </w14:textFill>
        </w:rPr>
        <w:t>覃塘振兴支行加工间</w:t>
      </w:r>
      <w:r>
        <w:rPr>
          <w:rFonts w:hint="eastAsia" w:ascii="彩虹粗仿宋" w:eastAsia="彩虹粗仿宋"/>
          <w:color w:val="000000" w:themeColor="text1"/>
          <w:sz w:val="32"/>
          <w:szCs w:val="32"/>
          <w14:textFill>
            <w14:solidFill>
              <w14:schemeClr w14:val="tx1"/>
            </w14:solidFill>
          </w14:textFill>
        </w:rPr>
        <w:t>送餐配送网点</w:t>
      </w:r>
      <w:r>
        <w:rPr>
          <w:rFonts w:hint="eastAsia" w:ascii="彩虹粗仿宋" w:eastAsia="彩虹粗仿宋"/>
          <w:color w:val="000000" w:themeColor="text1"/>
          <w:sz w:val="32"/>
          <w:szCs w:val="32"/>
          <w:lang w:val="en-US" w:eastAsia="zh-CN"/>
          <w14:textFill>
            <w14:solidFill>
              <w14:schemeClr w14:val="tx1"/>
            </w14:solidFill>
          </w14:textFill>
        </w:rPr>
        <w:t>1</w:t>
      </w:r>
      <w:r>
        <w:rPr>
          <w:rFonts w:hint="eastAsia" w:ascii="彩虹粗仿宋" w:eastAsia="彩虹粗仿宋"/>
          <w:color w:val="000000" w:themeColor="text1"/>
          <w:sz w:val="32"/>
          <w:szCs w:val="32"/>
          <w14:textFill>
            <w14:solidFill>
              <w14:schemeClr w14:val="tx1"/>
            </w14:solidFill>
          </w14:textFill>
        </w:rPr>
        <w:t>个</w:t>
      </w:r>
      <w:r>
        <w:rPr>
          <w:rFonts w:hint="eastAsia" w:ascii="彩虹粗仿宋" w:eastAsia="彩虹粗仿宋"/>
          <w:color w:val="000000" w:themeColor="text1"/>
          <w:sz w:val="32"/>
          <w:szCs w:val="32"/>
          <w:lang w:eastAsia="zh-CN"/>
          <w14:textFill>
            <w14:solidFill>
              <w14:schemeClr w14:val="tx1"/>
            </w14:solidFill>
          </w14:textFill>
        </w:rPr>
        <w:t>，</w:t>
      </w:r>
      <w:r>
        <w:rPr>
          <w:rFonts w:hint="eastAsia" w:ascii="彩虹粗仿宋" w:eastAsia="彩虹粗仿宋"/>
          <w:color w:val="000000" w:themeColor="text1"/>
          <w:sz w:val="32"/>
          <w:szCs w:val="32"/>
          <w:lang w:val="en-US" w:eastAsia="zh-CN"/>
          <w14:textFill>
            <w14:solidFill>
              <w14:schemeClr w14:val="tx1"/>
            </w14:solidFill>
          </w14:textFill>
        </w:rPr>
        <w:t>共9个</w:t>
      </w:r>
      <w:r>
        <w:rPr>
          <w:rFonts w:hint="eastAsia" w:ascii="彩虹粗仿宋" w:eastAsia="彩虹粗仿宋"/>
          <w:color w:val="000000" w:themeColor="text1"/>
          <w:sz w:val="32"/>
          <w:szCs w:val="32"/>
          <w14:textFill>
            <w14:solidFill>
              <w14:schemeClr w14:val="tx1"/>
            </w14:solidFill>
          </w14:textFill>
        </w:rPr>
        <w:t>。</w:t>
      </w:r>
      <w:r>
        <w:rPr>
          <w:rFonts w:hint="eastAsia" w:ascii="彩虹粗仿宋" w:eastAsia="彩虹粗仿宋"/>
          <w:color w:val="000000" w:themeColor="text1"/>
          <w:sz w:val="32"/>
          <w:szCs w:val="32"/>
          <w:lang w:val="en-US" w:eastAsia="zh-CN"/>
          <w14:textFill>
            <w14:solidFill>
              <w14:schemeClr w14:val="tx1"/>
            </w14:solidFill>
          </w14:textFill>
        </w:rPr>
        <w:t>县支行不须配送服务。</w:t>
      </w:r>
    </w:p>
    <w:p>
      <w:pPr>
        <w:adjustRightInd w:val="0"/>
        <w:snapToGrid w:val="0"/>
        <w:spacing w:line="360" w:lineRule="auto"/>
        <w:ind w:firstLine="643" w:firstLineChars="200"/>
        <w:rPr>
          <w:rFonts w:ascii="彩虹楷体" w:hAnsi="宋体" w:eastAsia="彩虹楷体" w:cs="Times New Roman"/>
          <w:b/>
          <w:snapToGrid w:val="0"/>
          <w:kern w:val="0"/>
          <w:sz w:val="32"/>
          <w:szCs w:val="32"/>
        </w:rPr>
      </w:pPr>
      <w:r>
        <w:rPr>
          <w:rFonts w:hint="eastAsia" w:ascii="彩虹粗仿宋" w:eastAsia="彩虹粗仿宋"/>
          <w:b/>
          <w:color w:val="000000" w:themeColor="text1"/>
          <w:sz w:val="32"/>
          <w:szCs w:val="32"/>
          <w14:textFill>
            <w14:solidFill>
              <w14:schemeClr w14:val="tx1"/>
            </w14:solidFill>
          </w14:textFill>
        </w:rPr>
        <w:t>十、</w:t>
      </w:r>
      <w:r>
        <w:rPr>
          <w:rFonts w:hint="eastAsia" w:ascii="彩虹楷体" w:hAnsi="宋体" w:eastAsia="彩虹楷体" w:cs="Times New Roman"/>
          <w:b/>
          <w:snapToGrid w:val="0"/>
          <w:kern w:val="0"/>
          <w:sz w:val="32"/>
          <w:szCs w:val="32"/>
        </w:rPr>
        <w:t>其他需求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投标报价应包含提供食堂外包服务可能产生的一切费用。报价为服务项目总价，同时需对服务报价的明细进行说明，包括但不限于人员成本（人员架构、工资架构、福利、劳保、社保、绩效等）、管理费、食品安全险、税费等。</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2.本项餐饮服务仅限建行食堂，不对外经营。本项餐饮服务不得转包、分包和挂靠，为本项目提供餐饮服务的人员需与中标供应商签订劳动合同。</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3.合同期内如建行总分行对食堂劳务成本等政策进行调整，按政策要求进行合同补充或终止合同。</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4.本项目支持现场踏勘，踏勘须经</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分行同意，踏勘产生的相关费用（交通、餐食等）由候选供应商自行承担。</w:t>
      </w:r>
    </w:p>
    <w:p>
      <w:pPr>
        <w:ind w:firstLine="640" w:firstLineChars="200"/>
        <w:rPr>
          <w:rFonts w:ascii="彩虹小标宋" w:hAnsi="宋体" w:eastAsia="彩虹小标宋"/>
          <w:sz w:val="44"/>
          <w:szCs w:val="44"/>
        </w:rPr>
      </w:pPr>
      <w:r>
        <w:rPr>
          <w:rFonts w:hint="eastAsia" w:ascii="彩虹粗仿宋" w:hAnsi="宋体" w:eastAsia="彩虹粗仿宋" w:cs="Times New Roman"/>
          <w:snapToGrid w:val="0"/>
          <w:kern w:val="0"/>
          <w:sz w:val="32"/>
          <w:szCs w:val="32"/>
        </w:rPr>
        <w:t>5.下表无需进行报价，但后期的餐饮服务食堂菜品应不高于下表的上限单价，价格要体现货真价实，质价相符。合同期内，若市场食材价格上涨，供应商可通过与</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分行充分协商、举证说明并取得</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分行同意后方可按协商价格上涨。</w:t>
      </w:r>
      <w:r>
        <w:rPr>
          <w:rFonts w:hint="eastAsia" w:ascii="彩虹粗仿宋" w:hAnsi="宋体" w:eastAsia="彩虹粗仿宋"/>
          <w:snapToGrid w:val="0"/>
          <w:kern w:val="0"/>
          <w:sz w:val="32"/>
          <w:szCs w:val="32"/>
        </w:rPr>
        <w:t>食堂小卖部商品（仅限食品类，包括生鲜类食材）价格按不高于同类超市商品（</w:t>
      </w:r>
      <w:r>
        <w:rPr>
          <w:rFonts w:hint="eastAsia" w:ascii="彩虹粗仿宋" w:hAnsi="宋体" w:eastAsia="彩虹粗仿宋"/>
          <w:snapToGrid w:val="0"/>
          <w:kern w:val="0"/>
          <w:sz w:val="32"/>
          <w:szCs w:val="32"/>
          <w:lang w:val="en-US" w:eastAsia="zh-CN"/>
        </w:rPr>
        <w:t>金色阳光超市、永胜百汇超市</w:t>
      </w:r>
      <w:r>
        <w:rPr>
          <w:rFonts w:hint="eastAsia" w:ascii="彩虹粗仿宋" w:hAnsi="宋体" w:eastAsia="彩虹粗仿宋"/>
          <w:snapToGrid w:val="0"/>
          <w:kern w:val="0"/>
          <w:sz w:val="32"/>
          <w:szCs w:val="32"/>
        </w:rPr>
        <w:t>、</w:t>
      </w:r>
      <w:r>
        <w:rPr>
          <w:rFonts w:hint="eastAsia" w:ascii="彩虹粗仿宋" w:hAnsi="宋体" w:eastAsia="彩虹粗仿宋"/>
          <w:snapToGrid w:val="0"/>
          <w:kern w:val="0"/>
          <w:sz w:val="32"/>
          <w:szCs w:val="32"/>
          <w:lang w:val="en-US" w:eastAsia="zh-CN"/>
        </w:rPr>
        <w:t>华</w:t>
      </w:r>
      <w:r>
        <w:rPr>
          <w:rFonts w:hint="eastAsia" w:ascii="彩虹粗仿宋" w:hAnsi="宋体" w:eastAsia="彩虹粗仿宋"/>
          <w:snapToGrid w:val="0"/>
          <w:kern w:val="0"/>
          <w:sz w:val="32"/>
          <w:szCs w:val="32"/>
        </w:rPr>
        <w:t>隆</w:t>
      </w:r>
      <w:r>
        <w:rPr>
          <w:rFonts w:hint="eastAsia" w:ascii="彩虹粗仿宋" w:hAnsi="宋体" w:eastAsia="彩虹粗仿宋"/>
          <w:snapToGrid w:val="0"/>
          <w:kern w:val="0"/>
          <w:sz w:val="32"/>
          <w:szCs w:val="32"/>
          <w:lang w:val="en-US" w:eastAsia="zh-CN"/>
        </w:rPr>
        <w:t>超市</w:t>
      </w:r>
      <w:r>
        <w:rPr>
          <w:rFonts w:hint="eastAsia" w:ascii="彩虹粗仿宋" w:hAnsi="宋体" w:eastAsia="彩虹粗仿宋"/>
          <w:snapToGrid w:val="0"/>
          <w:kern w:val="0"/>
          <w:sz w:val="32"/>
          <w:szCs w:val="32"/>
        </w:rPr>
        <w:t>）平均价格控制,</w:t>
      </w:r>
      <w:r>
        <w:rPr>
          <w:rFonts w:hint="eastAsia" w:ascii="彩虹粗仿宋" w:hAnsi="宋体" w:eastAsia="彩虹粗仿宋"/>
          <w:snapToGrid w:val="0"/>
          <w:kern w:val="0"/>
          <w:sz w:val="32"/>
          <w:szCs w:val="32"/>
          <w:lang w:eastAsia="zh-CN"/>
        </w:rPr>
        <w:t>贵港</w:t>
      </w:r>
      <w:r>
        <w:rPr>
          <w:rFonts w:hint="eastAsia" w:ascii="彩虹粗仿宋" w:hAnsi="宋体" w:eastAsia="彩虹粗仿宋"/>
          <w:snapToGrid w:val="0"/>
          <w:kern w:val="0"/>
          <w:sz w:val="32"/>
          <w:szCs w:val="32"/>
        </w:rPr>
        <w:t>分行将不定期督查。</w:t>
      </w:r>
    </w:p>
    <w:p>
      <w:pPr>
        <w:spacing w:line="360" w:lineRule="auto"/>
        <w:ind w:firstLine="2560" w:firstLineChars="8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食堂菜品价格上限单价</w:t>
      </w:r>
    </w:p>
    <w:tbl>
      <w:tblPr>
        <w:tblStyle w:val="9"/>
        <w:tblpPr w:leftFromText="180" w:rightFromText="180" w:vertAnchor="page" w:horzAnchor="margin" w:tblpY="2056"/>
        <w:tblW w:w="7564" w:type="dxa"/>
        <w:tblInd w:w="0" w:type="dxa"/>
        <w:tblLayout w:type="fixed"/>
        <w:tblCellMar>
          <w:top w:w="0" w:type="dxa"/>
          <w:left w:w="108" w:type="dxa"/>
          <w:bottom w:w="0" w:type="dxa"/>
          <w:right w:w="108" w:type="dxa"/>
        </w:tblCellMar>
      </w:tblPr>
      <w:tblGrid>
        <w:gridCol w:w="1276"/>
        <w:gridCol w:w="2629"/>
        <w:gridCol w:w="1391"/>
        <w:gridCol w:w="2268"/>
      </w:tblGrid>
      <w:tr>
        <w:tblPrEx>
          <w:tblLayout w:type="fixed"/>
        </w:tblPrEx>
        <w:trPr>
          <w:trHeight w:val="270" w:hRule="atLeast"/>
        </w:trPr>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序号列</w:t>
            </w:r>
          </w:p>
        </w:tc>
        <w:tc>
          <w:tcPr>
            <w:tcW w:w="2629"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商品名称</w:t>
            </w:r>
          </w:p>
        </w:tc>
        <w:tc>
          <w:tcPr>
            <w:tcW w:w="1391"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计量单位</w:t>
            </w:r>
          </w:p>
        </w:tc>
        <w:tc>
          <w:tcPr>
            <w:tcW w:w="2268"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含税单价(元)</w:t>
            </w:r>
          </w:p>
        </w:tc>
      </w:tr>
      <w:tr>
        <w:tblPrEx>
          <w:tblLayout w:type="fixed"/>
        </w:tblPrEx>
        <w:trPr>
          <w:trHeight w:val="270" w:hRule="atLeast"/>
        </w:trPr>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1</w:t>
            </w:r>
          </w:p>
        </w:tc>
        <w:tc>
          <w:tcPr>
            <w:tcW w:w="2629"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hint="eastAsia" w:ascii="宋体" w:hAnsi="宋体" w:eastAsia="宋体" w:cs="Arial"/>
                <w:kern w:val="0"/>
                <w:szCs w:val="21"/>
                <w:lang w:eastAsia="zh-CN"/>
              </w:rPr>
            </w:pPr>
            <w:r>
              <w:rPr>
                <w:rFonts w:hint="eastAsia" w:ascii="宋体" w:hAnsi="宋体" w:eastAsia="宋体" w:cs="Arial"/>
                <w:kern w:val="0"/>
                <w:szCs w:val="21"/>
              </w:rPr>
              <w:t>肉粉</w:t>
            </w:r>
            <w:r>
              <w:rPr>
                <w:rFonts w:hint="eastAsia" w:ascii="宋体" w:hAnsi="宋体" w:eastAsia="宋体" w:cs="Arial"/>
                <w:kern w:val="0"/>
                <w:szCs w:val="21"/>
                <w:lang w:eastAsia="zh-CN"/>
              </w:rPr>
              <w:t>、面（配豆浆）</w:t>
            </w:r>
          </w:p>
        </w:tc>
        <w:tc>
          <w:tcPr>
            <w:tcW w:w="1391"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2两</w:t>
            </w:r>
          </w:p>
        </w:tc>
        <w:tc>
          <w:tcPr>
            <w:tcW w:w="2268"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hint="default" w:ascii="宋体" w:hAnsi="宋体" w:eastAsia="宋体" w:cs="Arial"/>
                <w:kern w:val="0"/>
                <w:szCs w:val="21"/>
                <w:lang w:val="en-US" w:eastAsia="zh-CN"/>
              </w:rPr>
            </w:pPr>
            <w:r>
              <w:rPr>
                <w:rFonts w:hint="eastAsia" w:ascii="宋体" w:hAnsi="宋体" w:eastAsia="宋体" w:cs="Arial"/>
                <w:kern w:val="0"/>
                <w:szCs w:val="21"/>
                <w:lang w:val="en-US" w:eastAsia="zh-CN"/>
              </w:rPr>
              <w:t>6.5</w:t>
            </w:r>
          </w:p>
        </w:tc>
      </w:tr>
      <w:tr>
        <w:tblPrEx>
          <w:tblLayout w:type="fixed"/>
        </w:tblPrEx>
        <w:trPr>
          <w:trHeight w:val="270" w:hRule="atLeast"/>
        </w:trPr>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default" w:ascii="宋体" w:hAnsi="宋体" w:eastAsia="宋体" w:cs="Arial"/>
                <w:kern w:val="0"/>
                <w:szCs w:val="21"/>
                <w:lang w:val="en-US" w:eastAsia="zh-CN"/>
              </w:rPr>
            </w:pPr>
            <w:r>
              <w:rPr>
                <w:rFonts w:hint="eastAsia" w:ascii="宋体" w:hAnsi="宋体" w:eastAsia="宋体" w:cs="Arial"/>
                <w:kern w:val="0"/>
                <w:szCs w:val="21"/>
                <w:lang w:val="en-US" w:eastAsia="zh-CN"/>
              </w:rPr>
              <w:t>2</w:t>
            </w:r>
          </w:p>
        </w:tc>
        <w:tc>
          <w:tcPr>
            <w:tcW w:w="2629"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鸡蛋</w:t>
            </w:r>
          </w:p>
        </w:tc>
        <w:tc>
          <w:tcPr>
            <w:tcW w:w="1391"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个</w:t>
            </w:r>
          </w:p>
        </w:tc>
        <w:tc>
          <w:tcPr>
            <w:tcW w:w="2268"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eastAsia="宋体" w:cs="Arial"/>
                <w:kern w:val="0"/>
                <w:szCs w:val="21"/>
              </w:rPr>
            </w:pPr>
            <w:r>
              <w:rPr>
                <w:rFonts w:hint="eastAsia" w:ascii="宋体" w:hAnsi="宋体" w:eastAsia="宋体" w:cs="Arial"/>
                <w:kern w:val="0"/>
                <w:szCs w:val="21"/>
              </w:rPr>
              <w:t>1</w:t>
            </w:r>
          </w:p>
        </w:tc>
      </w:tr>
      <w:tr>
        <w:tblPrEx>
          <w:tblLayout w:type="fixed"/>
        </w:tblPrEx>
        <w:trPr>
          <w:trHeight w:val="270" w:hRule="atLeast"/>
        </w:trPr>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rPr>
                <w:rFonts w:hint="default" w:ascii="宋体" w:hAnsi="宋体" w:eastAsia="宋体" w:cs="Arial"/>
                <w:kern w:val="0"/>
                <w:szCs w:val="21"/>
                <w:lang w:val="en-US" w:eastAsia="zh-CN"/>
              </w:rPr>
            </w:pPr>
            <w:r>
              <w:rPr>
                <w:rFonts w:hint="eastAsia" w:ascii="宋体" w:hAnsi="宋体" w:eastAsia="宋体" w:cs="Arial"/>
                <w:kern w:val="0"/>
                <w:szCs w:val="21"/>
                <w:lang w:val="en-US" w:eastAsia="zh-CN"/>
              </w:rPr>
              <w:t>3</w:t>
            </w:r>
          </w:p>
        </w:tc>
        <w:tc>
          <w:tcPr>
            <w:tcW w:w="2629"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hint="eastAsia" w:ascii="宋体" w:hAnsi="宋体" w:eastAsia="宋体" w:cs="Arial"/>
                <w:kern w:val="0"/>
                <w:szCs w:val="21"/>
                <w:lang w:eastAsia="zh-CN"/>
              </w:rPr>
            </w:pPr>
            <w:r>
              <w:rPr>
                <w:rFonts w:hint="eastAsia" w:ascii="宋体" w:hAnsi="宋体" w:eastAsia="宋体" w:cs="Arial"/>
                <w:kern w:val="0"/>
                <w:szCs w:val="21"/>
                <w:lang w:eastAsia="zh-CN"/>
              </w:rPr>
              <w:t>一</w:t>
            </w:r>
            <w:r>
              <w:rPr>
                <w:rFonts w:hint="eastAsia" w:ascii="宋体" w:hAnsi="宋体" w:eastAsia="宋体" w:cs="Arial"/>
                <w:kern w:val="0"/>
                <w:szCs w:val="21"/>
              </w:rPr>
              <w:t>荤</w:t>
            </w:r>
            <w:r>
              <w:rPr>
                <w:rFonts w:hint="eastAsia" w:ascii="宋体" w:hAnsi="宋体" w:eastAsia="宋体" w:cs="Arial"/>
                <w:kern w:val="0"/>
                <w:szCs w:val="21"/>
                <w:lang w:eastAsia="zh-CN"/>
              </w:rPr>
              <w:t>、一荤素搭配、一素</w:t>
            </w:r>
            <w:r>
              <w:rPr>
                <w:rFonts w:hint="eastAsia" w:ascii="宋体" w:hAnsi="宋体" w:eastAsia="宋体" w:cs="Arial"/>
                <w:kern w:val="0"/>
                <w:szCs w:val="21"/>
              </w:rPr>
              <w:t>菜</w:t>
            </w:r>
            <w:r>
              <w:rPr>
                <w:rFonts w:hint="eastAsia" w:ascii="宋体" w:hAnsi="宋体" w:eastAsia="宋体" w:cs="Arial"/>
                <w:kern w:val="0"/>
                <w:szCs w:val="21"/>
                <w:lang w:eastAsia="zh-CN"/>
              </w:rPr>
              <w:t>（配米饭、例汤）</w:t>
            </w:r>
          </w:p>
        </w:tc>
        <w:tc>
          <w:tcPr>
            <w:tcW w:w="1391"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ascii="宋体" w:hAnsi="宋体" w:cs="Arial"/>
                <w:kern w:val="0"/>
                <w:szCs w:val="21"/>
              </w:rPr>
            </w:pPr>
            <w:r>
              <w:rPr>
                <w:rFonts w:ascii="宋体" w:hAnsi="宋体" w:cs="Arial"/>
                <w:kern w:val="0"/>
                <w:szCs w:val="21"/>
              </w:rPr>
              <w:t>份</w:t>
            </w:r>
            <w:r>
              <w:rPr>
                <w:rFonts w:hint="eastAsia" w:ascii="宋体" w:hAnsi="宋体" w:cs="Arial"/>
                <w:kern w:val="0"/>
                <w:szCs w:val="21"/>
              </w:rPr>
              <w:t>(</w:t>
            </w:r>
            <w:r>
              <w:rPr>
                <w:rFonts w:hint="eastAsia" w:ascii="宋体" w:hAnsi="宋体" w:cs="Arial"/>
                <w:kern w:val="0"/>
                <w:szCs w:val="21"/>
                <w:lang w:eastAsia="zh-CN"/>
              </w:rPr>
              <w:t>含荤菜</w:t>
            </w:r>
            <w:r>
              <w:rPr>
                <w:rFonts w:hint="eastAsia" w:ascii="宋体" w:hAnsi="宋体" w:cs="Arial"/>
                <w:kern w:val="0"/>
                <w:szCs w:val="21"/>
              </w:rPr>
              <w:t>150克</w:t>
            </w:r>
            <w:r>
              <w:rPr>
                <w:rFonts w:hint="eastAsia" w:ascii="宋体" w:hAnsi="宋体" w:cs="Arial"/>
                <w:kern w:val="0"/>
                <w:szCs w:val="21"/>
                <w:lang w:eastAsia="zh-CN"/>
              </w:rPr>
              <w:t>、</w:t>
            </w:r>
            <w:r>
              <w:rPr>
                <w:rFonts w:hint="eastAsia" w:ascii="宋体" w:hAnsi="宋体" w:eastAsia="宋体" w:cs="Arial"/>
                <w:kern w:val="0"/>
                <w:szCs w:val="21"/>
                <w:lang w:eastAsia="zh-CN"/>
              </w:rPr>
              <w:t>荤素搭配</w:t>
            </w:r>
            <w:r>
              <w:rPr>
                <w:rFonts w:hint="eastAsia" w:ascii="宋体" w:hAnsi="宋体" w:eastAsia="宋体" w:cs="Arial"/>
                <w:kern w:val="0"/>
                <w:szCs w:val="21"/>
                <w:lang w:val="en-US" w:eastAsia="zh-CN"/>
              </w:rPr>
              <w:t>100克、素菜150克</w:t>
            </w:r>
            <w:r>
              <w:rPr>
                <w:rFonts w:hint="eastAsia" w:ascii="宋体" w:hAnsi="宋体" w:cs="Arial"/>
                <w:kern w:val="0"/>
                <w:szCs w:val="21"/>
              </w:rPr>
              <w:t>)</w:t>
            </w:r>
          </w:p>
        </w:tc>
        <w:tc>
          <w:tcPr>
            <w:tcW w:w="2268" w:type="dxa"/>
            <w:tcBorders>
              <w:top w:val="single" w:color="000000" w:sz="4" w:space="0"/>
              <w:left w:val="nil"/>
              <w:bottom w:val="single" w:color="000000" w:sz="4" w:space="0"/>
              <w:right w:val="single" w:color="000000" w:sz="4" w:space="0"/>
            </w:tcBorders>
            <w:noWrap/>
            <w:vAlign w:val="center"/>
          </w:tcPr>
          <w:p>
            <w:pPr>
              <w:widowControl/>
              <w:spacing w:line="560" w:lineRule="exact"/>
              <w:jc w:val="center"/>
              <w:rPr>
                <w:rFonts w:hint="default" w:ascii="宋体" w:hAnsi="宋体" w:eastAsia="宋体" w:cs="Arial"/>
                <w:kern w:val="0"/>
                <w:szCs w:val="21"/>
                <w:lang w:val="en-US" w:eastAsia="zh-CN"/>
              </w:rPr>
            </w:pPr>
            <w:r>
              <w:rPr>
                <w:rFonts w:hint="eastAsia" w:ascii="宋体" w:hAnsi="宋体" w:eastAsia="宋体" w:cs="Arial"/>
                <w:kern w:val="0"/>
                <w:szCs w:val="21"/>
                <w:lang w:val="en-US" w:eastAsia="zh-CN"/>
              </w:rPr>
              <w:t>15</w:t>
            </w:r>
          </w:p>
        </w:tc>
      </w:tr>
    </w:tbl>
    <w:p/>
    <w:p/>
    <w:p>
      <w:pPr>
        <w:ind w:right="320"/>
        <w:jc w:val="right"/>
        <w:rPr>
          <w:rFonts w:hint="eastAsia" w:ascii="彩虹粗仿宋" w:hAnsi="宋体" w:eastAsia="彩虹粗仿宋" w:cs="Times New Roman"/>
          <w:snapToGrid w:val="0"/>
          <w:kern w:val="0"/>
          <w:sz w:val="32"/>
          <w:szCs w:val="32"/>
        </w:rPr>
      </w:pPr>
    </w:p>
    <w:p>
      <w:pPr>
        <w:ind w:right="320"/>
        <w:jc w:val="right"/>
        <w:rPr>
          <w:rFonts w:hint="eastAsia" w:ascii="彩虹粗仿宋" w:hAnsi="宋体" w:eastAsia="彩虹粗仿宋" w:cs="Times New Roman"/>
          <w:snapToGrid w:val="0"/>
          <w:kern w:val="0"/>
          <w:sz w:val="32"/>
          <w:szCs w:val="32"/>
        </w:rPr>
      </w:pPr>
    </w:p>
    <w:p>
      <w:pPr>
        <w:ind w:right="320"/>
        <w:jc w:val="right"/>
        <w:rPr>
          <w:rFonts w:hint="eastAsia" w:ascii="彩虹粗仿宋" w:hAnsi="宋体" w:eastAsia="彩虹粗仿宋" w:cs="Times New Roman"/>
          <w:snapToGrid w:val="0"/>
          <w:kern w:val="0"/>
          <w:sz w:val="32"/>
          <w:szCs w:val="32"/>
        </w:rPr>
      </w:pPr>
    </w:p>
    <w:p>
      <w:pPr>
        <w:ind w:right="320"/>
        <w:jc w:val="right"/>
        <w:rPr>
          <w:rFonts w:hint="eastAsia" w:ascii="彩虹粗仿宋" w:hAnsi="宋体" w:eastAsia="彩虹粗仿宋" w:cs="Times New Roman"/>
          <w:snapToGrid w:val="0"/>
          <w:kern w:val="0"/>
          <w:sz w:val="32"/>
          <w:szCs w:val="32"/>
        </w:rPr>
      </w:pPr>
    </w:p>
    <w:p>
      <w:pPr>
        <w:ind w:right="320"/>
        <w:jc w:val="right"/>
        <w:rPr>
          <w:rFonts w:hint="eastAsia" w:ascii="彩虹粗仿宋" w:hAnsi="宋体" w:eastAsia="彩虹粗仿宋" w:cs="Times New Roman"/>
          <w:snapToGrid w:val="0"/>
          <w:kern w:val="0"/>
          <w:sz w:val="32"/>
          <w:szCs w:val="32"/>
        </w:rPr>
      </w:pPr>
    </w:p>
    <w:p>
      <w:pPr>
        <w:ind w:right="320"/>
        <w:jc w:val="right"/>
        <w:rPr>
          <w:rFonts w:hint="eastAsia" w:ascii="彩虹粗仿宋" w:hAnsi="宋体" w:eastAsia="彩虹粗仿宋" w:cs="Times New Roman"/>
          <w:snapToGrid w:val="0"/>
          <w:kern w:val="0"/>
          <w:sz w:val="32"/>
          <w:szCs w:val="32"/>
        </w:rPr>
      </w:pPr>
    </w:p>
    <w:p>
      <w:pPr>
        <w:ind w:right="320"/>
        <w:jc w:val="right"/>
        <w:rPr>
          <w:rFonts w:hint="eastAsia" w:ascii="彩虹粗仿宋" w:hAnsi="宋体" w:eastAsia="彩虹粗仿宋" w:cs="Times New Roman"/>
          <w:snapToGrid w:val="0"/>
          <w:kern w:val="0"/>
          <w:sz w:val="32"/>
          <w:szCs w:val="32"/>
        </w:rPr>
      </w:pPr>
    </w:p>
    <w:p>
      <w:pPr>
        <w:ind w:right="320"/>
        <w:jc w:val="righ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中国建设银行股份有限公司</w:t>
      </w:r>
      <w:r>
        <w:rPr>
          <w:rFonts w:hint="eastAsia" w:ascii="彩虹粗仿宋" w:hAnsi="宋体" w:eastAsia="彩虹粗仿宋" w:cs="Times New Roman"/>
          <w:snapToGrid w:val="0"/>
          <w:kern w:val="0"/>
          <w:sz w:val="32"/>
          <w:szCs w:val="32"/>
          <w:lang w:eastAsia="zh-CN"/>
        </w:rPr>
        <w:t>贵港</w:t>
      </w:r>
      <w:r>
        <w:rPr>
          <w:rFonts w:hint="eastAsia" w:ascii="彩虹粗仿宋" w:hAnsi="宋体" w:eastAsia="彩虹粗仿宋" w:cs="Times New Roman"/>
          <w:snapToGrid w:val="0"/>
          <w:kern w:val="0"/>
          <w:sz w:val="32"/>
          <w:szCs w:val="32"/>
        </w:rPr>
        <w:t>分行</w:t>
      </w:r>
    </w:p>
    <w:p>
      <w:pPr>
        <w:ind w:right="960"/>
        <w:jc w:val="righ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2025年</w:t>
      </w:r>
      <w:r>
        <w:rPr>
          <w:rFonts w:hint="eastAsia" w:ascii="彩虹粗仿宋" w:hAnsi="宋体" w:eastAsia="彩虹粗仿宋" w:cs="Times New Roman"/>
          <w:snapToGrid w:val="0"/>
          <w:kern w:val="0"/>
          <w:sz w:val="32"/>
          <w:szCs w:val="32"/>
          <w:lang w:val="en-US" w:eastAsia="zh-CN"/>
        </w:rPr>
        <w:t>12</w:t>
      </w:r>
      <w:r>
        <w:rPr>
          <w:rFonts w:hint="eastAsia" w:ascii="彩虹粗仿宋" w:hAnsi="宋体" w:eastAsia="彩虹粗仿宋" w:cs="Times New Roman"/>
          <w:snapToGrid w:val="0"/>
          <w:kern w:val="0"/>
          <w:sz w:val="32"/>
          <w:szCs w:val="32"/>
        </w:rPr>
        <w:t>月</w:t>
      </w:r>
      <w:r>
        <w:rPr>
          <w:rFonts w:hint="eastAsia" w:ascii="彩虹粗仿宋" w:hAnsi="宋体" w:eastAsia="彩虹粗仿宋" w:cs="Times New Roman"/>
          <w:snapToGrid w:val="0"/>
          <w:kern w:val="0"/>
          <w:sz w:val="32"/>
          <w:szCs w:val="32"/>
          <w:lang w:val="en-US" w:eastAsia="zh-CN"/>
        </w:rPr>
        <w:t>10</w:t>
      </w:r>
      <w:r>
        <w:rPr>
          <w:rFonts w:hint="eastAsia" w:ascii="彩虹粗仿宋" w:hAnsi="宋体" w:eastAsia="彩虹粗仿宋" w:cs="Times New Roman"/>
          <w:snapToGrid w:val="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彩虹粗仿宋">
    <w:panose1 w:val="03000509000000000000"/>
    <w:charset w:val="86"/>
    <w:family w:val="script"/>
    <w:pitch w:val="default"/>
    <w:sig w:usb0="00000001" w:usb1="080E0000" w:usb2="00000000" w:usb3="00000000" w:csb0="00040000" w:csb1="00000000"/>
  </w:font>
  <w:font w:name="彩虹楷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彩虹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E2"/>
    <w:rsid w:val="00002315"/>
    <w:rsid w:val="00014625"/>
    <w:rsid w:val="00056B4C"/>
    <w:rsid w:val="00072F44"/>
    <w:rsid w:val="00082357"/>
    <w:rsid w:val="00110009"/>
    <w:rsid w:val="00153629"/>
    <w:rsid w:val="00164466"/>
    <w:rsid w:val="001D31C3"/>
    <w:rsid w:val="002100B0"/>
    <w:rsid w:val="002477FE"/>
    <w:rsid w:val="00272C6F"/>
    <w:rsid w:val="002A678C"/>
    <w:rsid w:val="002C429E"/>
    <w:rsid w:val="00322A08"/>
    <w:rsid w:val="00373D4B"/>
    <w:rsid w:val="00390ADF"/>
    <w:rsid w:val="003A0D3D"/>
    <w:rsid w:val="003A4C9D"/>
    <w:rsid w:val="003E208D"/>
    <w:rsid w:val="003E5D89"/>
    <w:rsid w:val="003F4D88"/>
    <w:rsid w:val="00410087"/>
    <w:rsid w:val="004106BC"/>
    <w:rsid w:val="004506FE"/>
    <w:rsid w:val="0048137C"/>
    <w:rsid w:val="004C1595"/>
    <w:rsid w:val="004D0AE2"/>
    <w:rsid w:val="004D3460"/>
    <w:rsid w:val="004D6C55"/>
    <w:rsid w:val="004E2D51"/>
    <w:rsid w:val="0051352E"/>
    <w:rsid w:val="00554283"/>
    <w:rsid w:val="00556A2F"/>
    <w:rsid w:val="005A659A"/>
    <w:rsid w:val="005D4E78"/>
    <w:rsid w:val="00632497"/>
    <w:rsid w:val="0064496C"/>
    <w:rsid w:val="00692DAA"/>
    <w:rsid w:val="006A78C7"/>
    <w:rsid w:val="006D3701"/>
    <w:rsid w:val="00700057"/>
    <w:rsid w:val="00711360"/>
    <w:rsid w:val="0071320F"/>
    <w:rsid w:val="00721232"/>
    <w:rsid w:val="00754829"/>
    <w:rsid w:val="00756CB3"/>
    <w:rsid w:val="007716BB"/>
    <w:rsid w:val="0078181E"/>
    <w:rsid w:val="007C424F"/>
    <w:rsid w:val="007E632C"/>
    <w:rsid w:val="007F5F57"/>
    <w:rsid w:val="0082172E"/>
    <w:rsid w:val="00826339"/>
    <w:rsid w:val="00827F54"/>
    <w:rsid w:val="00847A64"/>
    <w:rsid w:val="00857F9B"/>
    <w:rsid w:val="00875F73"/>
    <w:rsid w:val="00876C34"/>
    <w:rsid w:val="008B288E"/>
    <w:rsid w:val="008C1BBF"/>
    <w:rsid w:val="008D7343"/>
    <w:rsid w:val="009232F8"/>
    <w:rsid w:val="00931E3C"/>
    <w:rsid w:val="00944065"/>
    <w:rsid w:val="00951540"/>
    <w:rsid w:val="00954E24"/>
    <w:rsid w:val="00983392"/>
    <w:rsid w:val="00983C8C"/>
    <w:rsid w:val="009E1DF4"/>
    <w:rsid w:val="00A0136F"/>
    <w:rsid w:val="00A03A71"/>
    <w:rsid w:val="00A50470"/>
    <w:rsid w:val="00AE15E9"/>
    <w:rsid w:val="00AF3B25"/>
    <w:rsid w:val="00AF7DD2"/>
    <w:rsid w:val="00B02B00"/>
    <w:rsid w:val="00B319D5"/>
    <w:rsid w:val="00B93D72"/>
    <w:rsid w:val="00BA5F12"/>
    <w:rsid w:val="00BC31C3"/>
    <w:rsid w:val="00C25CF6"/>
    <w:rsid w:val="00C517D8"/>
    <w:rsid w:val="00C53453"/>
    <w:rsid w:val="00C53DF0"/>
    <w:rsid w:val="00C86B88"/>
    <w:rsid w:val="00CB22EF"/>
    <w:rsid w:val="00CC441F"/>
    <w:rsid w:val="00CC55D1"/>
    <w:rsid w:val="00D36913"/>
    <w:rsid w:val="00D50243"/>
    <w:rsid w:val="00D61CB1"/>
    <w:rsid w:val="00DA7A87"/>
    <w:rsid w:val="00DB004E"/>
    <w:rsid w:val="00DB10F6"/>
    <w:rsid w:val="00DB7B50"/>
    <w:rsid w:val="00E0441F"/>
    <w:rsid w:val="00E06157"/>
    <w:rsid w:val="00E06C1A"/>
    <w:rsid w:val="00E44E0B"/>
    <w:rsid w:val="00E4599E"/>
    <w:rsid w:val="00E616CB"/>
    <w:rsid w:val="00E8241C"/>
    <w:rsid w:val="00ED0396"/>
    <w:rsid w:val="00ED4F36"/>
    <w:rsid w:val="00EE79B9"/>
    <w:rsid w:val="00EF0E2D"/>
    <w:rsid w:val="00F15CEE"/>
    <w:rsid w:val="00F3423F"/>
    <w:rsid w:val="00F967A0"/>
    <w:rsid w:val="00FC579C"/>
    <w:rsid w:val="00FE3588"/>
    <w:rsid w:val="00FE3F7D"/>
    <w:rsid w:val="067F6331"/>
    <w:rsid w:val="0A2C6F6F"/>
    <w:rsid w:val="2CB91157"/>
    <w:rsid w:val="30F41473"/>
    <w:rsid w:val="33C67FC2"/>
    <w:rsid w:val="58EA25EA"/>
    <w:rsid w:val="5D0C0354"/>
    <w:rsid w:val="729C1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uiPriority w:val="99"/>
    <w:rPr>
      <w:b/>
      <w:bCs/>
    </w:rPr>
  </w:style>
  <w:style w:type="paragraph" w:styleId="3">
    <w:name w:val="annotation text"/>
    <w:basedOn w:val="1"/>
    <w:link w:val="15"/>
    <w:semiHidden/>
    <w:unhideWhenUsed/>
    <w:uiPriority w:val="99"/>
    <w:pPr>
      <w:jc w:val="left"/>
    </w:pPr>
  </w:style>
  <w:style w:type="paragraph" w:styleId="4">
    <w:name w:val="Balloon Text"/>
    <w:basedOn w:val="1"/>
    <w:link w:val="11"/>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批注框文本 Char"/>
    <w:basedOn w:val="7"/>
    <w:link w:val="4"/>
    <w:semiHidden/>
    <w:uiPriority w:val="99"/>
    <w:rPr>
      <w:sz w:val="18"/>
      <w:szCs w:val="18"/>
    </w:rPr>
  </w:style>
  <w:style w:type="character" w:customStyle="1" w:styleId="12">
    <w:name w:val="页眉 Char"/>
    <w:basedOn w:val="7"/>
    <w:link w:val="6"/>
    <w:uiPriority w:val="99"/>
    <w:rPr>
      <w:sz w:val="18"/>
      <w:szCs w:val="18"/>
    </w:rPr>
  </w:style>
  <w:style w:type="character" w:customStyle="1" w:styleId="13">
    <w:name w:val="页脚 Char"/>
    <w:basedOn w:val="7"/>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Char"/>
    <w:basedOn w:val="7"/>
    <w:link w:val="3"/>
    <w:semiHidden/>
    <w:qFormat/>
    <w:uiPriority w:val="99"/>
  </w:style>
  <w:style w:type="character" w:customStyle="1" w:styleId="16">
    <w:name w:val="批注主题 Char"/>
    <w:basedOn w:val="15"/>
    <w:link w:val="2"/>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1069</Words>
  <Characters>6099</Characters>
  <Lines>50</Lines>
  <Paragraphs>14</Paragraphs>
  <TotalTime>12</TotalTime>
  <ScaleCrop>false</ScaleCrop>
  <LinksUpToDate>false</LinksUpToDate>
  <CharactersWithSpaces>7154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2025-05-08T07:28:00Z</dcterms:created>
  <dc:creator>欧亚满</dc:creator>
  <cp:lastModifiedBy>郑秋艳</cp:lastModifiedBy>
  <dcterms:modified xsi:type="dcterms:W3CDTF">2025-12-10T07:03:39Z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99695929D4EA4EC081EE87C1E0AD287D_12</vt:lpwstr>
  </property>
</Properties>
</file>