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60BF2">
      <w:pPr>
        <w:spacing w:line="360" w:lineRule="auto"/>
        <w:jc w:val="center"/>
        <w:rPr>
          <w:rFonts w:ascii="彩虹小标宋" w:eastAsia="彩虹小标宋"/>
          <w:bCs/>
          <w:sz w:val="44"/>
          <w:szCs w:val="44"/>
        </w:rPr>
      </w:pPr>
      <w:r>
        <w:rPr>
          <w:rFonts w:hint="eastAsia" w:ascii="彩虹小标宋" w:eastAsia="彩虹小标宋"/>
          <w:bCs/>
          <w:sz w:val="44"/>
          <w:szCs w:val="44"/>
        </w:rPr>
        <w:t>玉林高级中学校园信息化建设项目</w:t>
      </w:r>
    </w:p>
    <w:p w14:paraId="436F2719">
      <w:pPr>
        <w:spacing w:line="360" w:lineRule="auto"/>
        <w:jc w:val="center"/>
        <w:rPr>
          <w:rFonts w:ascii="彩虹小标宋" w:hAnsi="宋体" w:eastAsia="彩虹小标宋"/>
          <w:snapToGrid w:val="0"/>
          <w:kern w:val="0"/>
          <w:sz w:val="44"/>
          <w:szCs w:val="44"/>
        </w:rPr>
      </w:pPr>
      <w:r>
        <w:rPr>
          <w:rFonts w:hint="eastAsia" w:ascii="彩虹小标宋" w:hAnsi="宋体" w:eastAsia="彩虹小标宋"/>
          <w:snapToGrid w:val="0"/>
          <w:kern w:val="0"/>
          <w:sz w:val="44"/>
          <w:szCs w:val="44"/>
        </w:rPr>
        <w:t>采购需求</w:t>
      </w:r>
    </w:p>
    <w:p w14:paraId="279A900F">
      <w:pPr>
        <w:pStyle w:val="10"/>
        <w:spacing w:line="360" w:lineRule="auto"/>
        <w:ind w:left="640" w:firstLine="0" w:firstLineChars="0"/>
        <w:rPr>
          <w:rFonts w:ascii="彩虹粗仿宋" w:hAnsi="宋体" w:eastAsia="彩虹粗仿宋"/>
          <w:b/>
          <w:sz w:val="32"/>
          <w:szCs w:val="32"/>
        </w:rPr>
      </w:pPr>
    </w:p>
    <w:p w14:paraId="630B2E0A">
      <w:pPr>
        <w:pStyle w:val="10"/>
        <w:spacing w:line="360" w:lineRule="auto"/>
        <w:ind w:left="640" w:firstLine="0" w:firstLineChars="0"/>
        <w:rPr>
          <w:rFonts w:ascii="彩虹粗仿宋" w:hAnsi="宋体" w:eastAsia="彩虹粗仿宋"/>
          <w:b/>
          <w:sz w:val="32"/>
          <w:szCs w:val="32"/>
        </w:rPr>
      </w:pPr>
      <w:r>
        <w:rPr>
          <w:rFonts w:hint="eastAsia" w:ascii="彩虹粗仿宋" w:hAnsi="宋体" w:eastAsia="彩虹粗仿宋"/>
          <w:b/>
          <w:sz w:val="32"/>
          <w:szCs w:val="32"/>
        </w:rPr>
        <w:t>一、采购内容</w:t>
      </w:r>
    </w:p>
    <w:p w14:paraId="0F22E033">
      <w:pPr>
        <w:ind w:firstLine="640" w:firstLineChars="200"/>
        <w:rPr>
          <w:rFonts w:ascii="彩虹粗仿宋" w:hAnsi="宋体" w:eastAsia="彩虹粗仿宋"/>
          <w:snapToGrid w:val="0"/>
          <w:kern w:val="0"/>
          <w:sz w:val="32"/>
          <w:szCs w:val="32"/>
        </w:rPr>
      </w:pPr>
      <w:r>
        <w:rPr>
          <w:rFonts w:hint="eastAsia" w:ascii="彩虹粗仿宋" w:hAnsi="宋体" w:eastAsia="彩虹粗仿宋"/>
          <w:sz w:val="32"/>
          <w:szCs w:val="32"/>
        </w:rPr>
        <w:t>玉林高级中学校园信息化建设项目</w:t>
      </w:r>
      <w:r>
        <w:rPr>
          <w:rFonts w:hint="eastAsia" w:ascii="彩虹粗仿宋" w:hAnsi="宋体" w:eastAsia="彩虹粗仿宋"/>
          <w:snapToGrid w:val="0"/>
          <w:kern w:val="0"/>
          <w:sz w:val="32"/>
          <w:szCs w:val="32"/>
        </w:rPr>
        <w:t>,合同期限5年，详细维护内容如下：</w:t>
      </w:r>
    </w:p>
    <w:tbl>
      <w:tblPr>
        <w:tblStyle w:val="6"/>
        <w:tblW w:w="8975" w:type="dxa"/>
        <w:tblInd w:w="93" w:type="dxa"/>
        <w:tblLayout w:type="autofit"/>
        <w:tblCellMar>
          <w:top w:w="0" w:type="dxa"/>
          <w:left w:w="108" w:type="dxa"/>
          <w:bottom w:w="0" w:type="dxa"/>
          <w:right w:w="108" w:type="dxa"/>
        </w:tblCellMar>
      </w:tblPr>
      <w:tblGrid>
        <w:gridCol w:w="1042"/>
        <w:gridCol w:w="1042"/>
        <w:gridCol w:w="2797"/>
        <w:gridCol w:w="1445"/>
        <w:gridCol w:w="1042"/>
        <w:gridCol w:w="1607"/>
      </w:tblGrid>
      <w:tr w14:paraId="5245151A">
        <w:tblPrEx>
          <w:tblCellMar>
            <w:top w:w="0" w:type="dxa"/>
            <w:left w:w="108" w:type="dxa"/>
            <w:bottom w:w="0" w:type="dxa"/>
            <w:right w:w="108" w:type="dxa"/>
          </w:tblCellMar>
        </w:tblPrEx>
        <w:trPr>
          <w:trHeight w:val="681" w:hRule="atLeast"/>
        </w:trPr>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3794">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CC0">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类型</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B66">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7B6">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DC9">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单位</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07D">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维保年限</w:t>
            </w:r>
          </w:p>
        </w:tc>
      </w:tr>
      <w:tr w14:paraId="584DFEF3">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AB6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3AA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软件</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87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一卡通管理系统平台</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62C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4D9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48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18480D0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4F6A">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CF8B">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ED1F">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452">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30BA">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24D3">
            <w:pPr>
              <w:jc w:val="center"/>
              <w:rPr>
                <w:rFonts w:ascii="宋体" w:hAnsi="宋体" w:eastAsia="宋体" w:cs="宋体"/>
                <w:b/>
                <w:bCs/>
                <w:color w:val="000000"/>
                <w:sz w:val="18"/>
                <w:szCs w:val="18"/>
              </w:rPr>
            </w:pPr>
          </w:p>
        </w:tc>
      </w:tr>
      <w:tr w14:paraId="0F61121C">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77F4">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F67C">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70B">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55C4">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C759">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3364">
            <w:pPr>
              <w:jc w:val="center"/>
              <w:rPr>
                <w:rFonts w:ascii="宋体" w:hAnsi="宋体" w:eastAsia="宋体" w:cs="宋体"/>
                <w:b/>
                <w:bCs/>
                <w:color w:val="000000"/>
                <w:sz w:val="18"/>
                <w:szCs w:val="18"/>
              </w:rPr>
            </w:pPr>
          </w:p>
        </w:tc>
      </w:tr>
      <w:tr w14:paraId="1C7B56E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09DC">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91E6">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199B">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C59">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4F6E">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6543">
            <w:pPr>
              <w:jc w:val="center"/>
              <w:rPr>
                <w:rFonts w:ascii="宋体" w:hAnsi="宋体" w:eastAsia="宋体" w:cs="宋体"/>
                <w:b/>
                <w:bCs/>
                <w:color w:val="000000"/>
                <w:sz w:val="18"/>
                <w:szCs w:val="18"/>
              </w:rPr>
            </w:pPr>
          </w:p>
        </w:tc>
      </w:tr>
      <w:tr w14:paraId="1A5A6311">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AB01">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735B">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D43F">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B5EF">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AF27">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9B6F">
            <w:pPr>
              <w:jc w:val="center"/>
              <w:rPr>
                <w:rFonts w:ascii="宋体" w:hAnsi="宋体" w:eastAsia="宋体" w:cs="宋体"/>
                <w:b/>
                <w:bCs/>
                <w:color w:val="000000"/>
                <w:sz w:val="18"/>
                <w:szCs w:val="18"/>
              </w:rPr>
            </w:pPr>
          </w:p>
        </w:tc>
      </w:tr>
      <w:tr w14:paraId="549BB9AD">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E56E">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E7E8">
            <w:pPr>
              <w:jc w:val="center"/>
              <w:rPr>
                <w:rFonts w:ascii="宋体" w:hAnsi="宋体" w:eastAsia="宋体" w:cs="宋体"/>
                <w:b/>
                <w:bCs/>
                <w:color w:val="000000"/>
                <w:sz w:val="18"/>
                <w:szCs w:val="18"/>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3540">
            <w:pPr>
              <w:jc w:val="center"/>
              <w:rPr>
                <w:rFonts w:ascii="宋体" w:hAnsi="宋体" w:eastAsia="宋体" w:cs="宋体"/>
                <w:b/>
                <w:bCs/>
                <w:color w:val="000000"/>
                <w:sz w:val="18"/>
                <w:szCs w:val="18"/>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1AD9">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9466">
            <w:pPr>
              <w:jc w:val="center"/>
              <w:rPr>
                <w:rFonts w:ascii="宋体" w:hAnsi="宋体" w:eastAsia="宋体" w:cs="宋体"/>
                <w:b/>
                <w:bCs/>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D822">
            <w:pPr>
              <w:jc w:val="center"/>
              <w:rPr>
                <w:rFonts w:ascii="宋体" w:hAnsi="宋体" w:eastAsia="宋体" w:cs="宋体"/>
                <w:b/>
                <w:bCs/>
                <w:color w:val="000000"/>
                <w:sz w:val="18"/>
                <w:szCs w:val="18"/>
              </w:rPr>
            </w:pPr>
          </w:p>
        </w:tc>
      </w:tr>
      <w:tr w14:paraId="16BBB896">
        <w:tblPrEx>
          <w:tblCellMar>
            <w:top w:w="0" w:type="dxa"/>
            <w:left w:w="108" w:type="dxa"/>
            <w:bottom w:w="0" w:type="dxa"/>
            <w:right w:w="108" w:type="dxa"/>
          </w:tblCellMar>
        </w:tblPrEx>
        <w:trPr>
          <w:trHeight w:val="9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FA6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966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8C7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消费机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11D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55B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96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1BC3C3F7">
        <w:tblPrEx>
          <w:tblCellMar>
            <w:top w:w="0" w:type="dxa"/>
            <w:left w:w="108" w:type="dxa"/>
            <w:bottom w:w="0" w:type="dxa"/>
            <w:right w:w="108" w:type="dxa"/>
          </w:tblCellMar>
        </w:tblPrEx>
        <w:trPr>
          <w:trHeight w:val="10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CBE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50A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7F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电表</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B64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9E9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3F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2年</w:t>
            </w:r>
          </w:p>
        </w:tc>
      </w:tr>
      <w:tr w14:paraId="3D580367">
        <w:tblPrEx>
          <w:tblCellMar>
            <w:top w:w="0" w:type="dxa"/>
            <w:left w:w="108" w:type="dxa"/>
            <w:bottom w:w="0" w:type="dxa"/>
            <w:right w:w="108" w:type="dxa"/>
          </w:tblCellMar>
        </w:tblPrEx>
        <w:trPr>
          <w:trHeight w:val="12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E24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C95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886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圈存机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5CB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CDE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93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4FCCB3E3">
        <w:tblPrEx>
          <w:tblCellMar>
            <w:top w:w="0" w:type="dxa"/>
            <w:left w:w="108" w:type="dxa"/>
            <w:bottom w:w="0" w:type="dxa"/>
            <w:right w:w="108" w:type="dxa"/>
          </w:tblCellMar>
        </w:tblPrEx>
        <w:trPr>
          <w:trHeight w:val="1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198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F59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F0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服务器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BD2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FAC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855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r w14:paraId="3E94CDEA">
        <w:tblPrEx>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89D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A4C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370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交换机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1A8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10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8A0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5年</w:t>
            </w:r>
          </w:p>
        </w:tc>
      </w:tr>
    </w:tbl>
    <w:p w14:paraId="1C3F4EEA">
      <w:pPr>
        <w:spacing w:line="360" w:lineRule="auto"/>
        <w:rPr>
          <w:rFonts w:ascii="彩虹粗仿宋" w:hAnsi="彩虹粗仿宋" w:eastAsia="彩虹粗仿宋"/>
          <w:sz w:val="32"/>
        </w:rPr>
      </w:pPr>
    </w:p>
    <w:p w14:paraId="6B47775C">
      <w:pPr>
        <w:numPr>
          <w:ilvl w:val="0"/>
          <w:numId w:val="1"/>
        </w:num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供应商资质要求</w:t>
      </w:r>
    </w:p>
    <w:p w14:paraId="6453D872">
      <w:pPr>
        <w:pStyle w:val="2"/>
        <w:ind w:firstLine="640" w:firstLineChars="200"/>
        <w:rPr>
          <w:rFonts w:ascii="彩虹粗仿宋" w:hAnsi="宋体" w:eastAsia="彩虹粗仿宋"/>
          <w:sz w:val="32"/>
          <w:szCs w:val="32"/>
        </w:rPr>
      </w:pPr>
      <w:r>
        <w:rPr>
          <w:rFonts w:hint="eastAsia" w:ascii="彩虹粗仿宋" w:hAnsi="宋体" w:eastAsia="彩虹粗仿宋"/>
          <w:sz w:val="32"/>
          <w:szCs w:val="32"/>
        </w:rPr>
        <w:t>1.供应商的成立时间应大于1年，且具备计算机软、硬件的技术开发、销售、咨询服务等与项目相关的经营范围（需提供营业执照副本)；</w:t>
      </w:r>
    </w:p>
    <w:p w14:paraId="7D7E2B6F">
      <w:pPr>
        <w:pStyle w:val="2"/>
        <w:ind w:firstLine="640" w:firstLineChars="200"/>
        <w:rPr>
          <w:rFonts w:ascii="彩虹粗仿宋" w:hAnsi="宋体" w:eastAsia="彩虹粗仿宋"/>
          <w:sz w:val="32"/>
          <w:szCs w:val="32"/>
        </w:rPr>
      </w:pPr>
      <w:r>
        <w:rPr>
          <w:rFonts w:hint="eastAsia" w:ascii="彩虹粗仿宋" w:hAnsi="宋体" w:eastAsia="彩虹粗仿宋"/>
          <w:sz w:val="32"/>
          <w:szCs w:val="32"/>
        </w:rPr>
        <w:t>2.供应商注册地应为广西区域内或者在广西区域内有办事处（需提供营业执照副本或广西区域办事处的设立证明（如租赁合同、办公场地照片等）；</w:t>
      </w:r>
    </w:p>
    <w:p w14:paraId="59E678A7">
      <w:pPr>
        <w:pStyle w:val="2"/>
        <w:ind w:firstLine="640" w:firstLineChars="200"/>
        <w:rPr>
          <w:rFonts w:ascii="彩虹粗仿宋" w:hAnsi="宋体" w:eastAsia="彩虹粗仿宋"/>
          <w:sz w:val="32"/>
          <w:szCs w:val="32"/>
        </w:rPr>
      </w:pPr>
      <w:r>
        <w:rPr>
          <w:rFonts w:hint="eastAsia" w:ascii="彩虹粗仿宋" w:hAnsi="宋体" w:eastAsia="彩虹粗仿宋"/>
          <w:sz w:val="32"/>
          <w:szCs w:val="32"/>
        </w:rPr>
        <w:t>3.供应商应有1个（含）以上与项目相关的服务案例（需提供项目合同)；</w:t>
      </w:r>
    </w:p>
    <w:p w14:paraId="38397824">
      <w:pPr>
        <w:adjustRightInd w:val="0"/>
        <w:snapToGrid w:val="0"/>
        <w:spacing w:line="360" w:lineRule="auto"/>
        <w:ind w:firstLine="643" w:firstLineChars="200"/>
        <w:rPr>
          <w:rFonts w:ascii="彩虹粗仿宋" w:hAnsi="宋体" w:eastAsia="彩虹粗仿宋" w:cs="Times New Roman"/>
          <w:b/>
          <w:snapToGrid w:val="0"/>
          <w:kern w:val="0"/>
          <w:sz w:val="32"/>
          <w:szCs w:val="32"/>
        </w:rPr>
      </w:pPr>
    </w:p>
    <w:p w14:paraId="090C6761">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三、产品规格</w:t>
      </w:r>
    </w:p>
    <w:tbl>
      <w:tblPr>
        <w:tblStyle w:val="6"/>
        <w:tblW w:w="9296" w:type="dxa"/>
        <w:tblInd w:w="93" w:type="dxa"/>
        <w:tblLayout w:type="autofit"/>
        <w:tblCellMar>
          <w:top w:w="0" w:type="dxa"/>
          <w:left w:w="108" w:type="dxa"/>
          <w:bottom w:w="0" w:type="dxa"/>
          <w:right w:w="108" w:type="dxa"/>
        </w:tblCellMar>
      </w:tblPr>
      <w:tblGrid>
        <w:gridCol w:w="568"/>
        <w:gridCol w:w="693"/>
        <w:gridCol w:w="815"/>
        <w:gridCol w:w="870"/>
        <w:gridCol w:w="6350"/>
      </w:tblGrid>
      <w:tr w14:paraId="72AFA5C1">
        <w:tblPrEx>
          <w:tblCellMar>
            <w:top w:w="0" w:type="dxa"/>
            <w:left w:w="108" w:type="dxa"/>
            <w:bottom w:w="0" w:type="dxa"/>
            <w:right w:w="108" w:type="dxa"/>
          </w:tblCellMar>
        </w:tblPrEx>
        <w:trPr>
          <w:trHeight w:val="1008"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21D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4B7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类型</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5443">
            <w:pPr>
              <w:widowControl/>
              <w:jc w:val="left"/>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设备名称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712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子功能</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D9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功能配置说明</w:t>
            </w:r>
          </w:p>
        </w:tc>
      </w:tr>
      <w:tr w14:paraId="2A741DFD">
        <w:tblPrEx>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DCC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B8AB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软件</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F7A6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一卡通管理系统平台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AA3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基础管理平台</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8523">
            <w:pPr>
              <w:widowControl/>
              <w:jc w:val="left"/>
              <w:textAlignment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kern w:val="0"/>
                <w:sz w:val="18"/>
                <w:szCs w:val="18"/>
                <w:lang w:bidi="ar"/>
              </w:rPr>
              <w:t xml:space="preserve">    整合校园内消费（如食堂、小卖部等）、银行充值、热水消费等多场景业务及对账工作； 1. 账户信息管理：支持开户、销户及账户信息（如个人资料、绑定银行等）变更操作； 2. 卡片管理：可办理开卡、挂失、解挂、补卡、换卡、修卡等全生命周期业务； 3. 商务管理：对各类消费、充值业务的商务规则（如优惠活动、商户管理等）进行配置； 4. 查询统计：可按时间、人员、消费类型等维度查询并统计一卡通使用数据； 5. 结算报表查询：生成各类消费、充值、补贴的结算报表，支持数据导出与分析； 6. 银行对帐报表查询：实现一卡通系统与银行账户的对账数据查询与核对 </w:t>
            </w:r>
            <w:r>
              <w:rPr>
                <w:rFonts w:hint="eastAsia" w:ascii="宋体" w:hAnsi="宋体" w:eastAsia="宋体" w:cs="宋体"/>
                <w:b/>
                <w:bCs/>
                <w:color w:val="000000"/>
                <w:kern w:val="0"/>
                <w:sz w:val="18"/>
                <w:szCs w:val="18"/>
                <w:highlight w:val="none"/>
                <w:lang w:val="en-US" w:eastAsia="zh-CN" w:bidi="ar"/>
              </w:rPr>
              <w:t>;7.与现有的热水系统数据对接互通，热水系统采用一卡通余额消费，消费明细实时上传平台。</w:t>
            </w:r>
          </w:p>
        </w:tc>
      </w:tr>
      <w:tr w14:paraId="6F5C78AD">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D44D">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6B3C">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5011">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CD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掌银前置模块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58F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 打通手机银行与校园一卡通系统的接口， 1. 支持通过手机银行直接向一卡通账户充值； 2. 对账模块：对手机银行充值流水与一卡通系统账目进行自动核对，确保资金一致 </w:t>
            </w:r>
          </w:p>
        </w:tc>
      </w:tr>
      <w:tr w14:paraId="2AAB047A">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FA38">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55BD">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0405">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79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微信服务模块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4EA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 对接学校官方公众号，师生可在公众号内查询一卡通余额、消费记录、充值记录等相关信息，实现一卡通信息的便捷查询 </w:t>
            </w:r>
          </w:p>
        </w:tc>
      </w:tr>
      <w:tr w14:paraId="451300EC">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8DFC">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6B4F">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CAB3">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999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食堂消费模块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6E2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支持食堂消费场景，采用先充值后消费模式，持卡人可在食堂刷卡设备上灵活消费，实时扣减账户余额，消费数据实时同步至系统 </w:t>
            </w:r>
          </w:p>
        </w:tc>
      </w:tr>
      <w:tr w14:paraId="49C98F14">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4635">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E146">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DED1">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EC3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部门统计模块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55C7">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可按部门、个人维度，对消费金额、消费次数、消费场所等数据进行统计分析，助力学校掌握各部门一卡通使用情况</w:t>
            </w:r>
          </w:p>
        </w:tc>
      </w:tr>
      <w:tr w14:paraId="24961DF1">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44E8">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3CB5">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07C1">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12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批量充值模块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F84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支持按身份（如教职工、学生等不同身份类别）或部门批量导入充值名单并完成金额充值，提高大规模充值的效率 </w:t>
            </w:r>
          </w:p>
        </w:tc>
      </w:tr>
      <w:tr w14:paraId="4F6D2A37">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245">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A460">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5174">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284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身份限次模块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AE9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针对不同身份（如教职工、不同年级学生等）设置刷卡次数限制，例如可限定某类人员每日在特定场所（如热水房）的刷卡次数，实现资源合理管控 </w:t>
            </w:r>
          </w:p>
        </w:tc>
      </w:tr>
      <w:tr w14:paraId="01360762">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BF5">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69921">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019C5">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8DA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补贴模块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8443">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学校可通过软件后台统一给职工下发补贴，补贴金额直接进入职工一卡通账户，支持补贴规则配置（如补贴发放时间、发放对象等） </w:t>
            </w:r>
          </w:p>
        </w:tc>
      </w:tr>
      <w:tr w14:paraId="5002AAC3">
        <w:tblPrEx>
          <w:tblCellMar>
            <w:top w:w="0" w:type="dxa"/>
            <w:left w:w="108" w:type="dxa"/>
            <w:bottom w:w="0" w:type="dxa"/>
            <w:right w:w="108" w:type="dxa"/>
          </w:tblCellMar>
        </w:tblPrEx>
        <w:trPr>
          <w:trHeight w:val="14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026D">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77F9">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55C2">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EFD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设备监控模块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0A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1. 设备管理：对一卡通相关硬件设备（如刷卡机、充值机等）进行状态监控、故障预警、设备参数管理； 2. 参数设置：配置设备运行参数（如消费限额、刷卡响应时间等）； 3. 消费数据监控：实时监控各设备的消费数据，对异常消费（如大额消费、频繁消费等）进行预警 </w:t>
            </w:r>
          </w:p>
        </w:tc>
      </w:tr>
      <w:tr w14:paraId="5481A4E2">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FD94">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DDB2">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E48E">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7F0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第三方接入模块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5F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与学校现有的图书馆系统对接，实现一卡通在图书馆场景的应用（如图书借阅扣费等），并承担相关支付接口费用</w:t>
            </w:r>
          </w:p>
        </w:tc>
      </w:tr>
      <w:tr w14:paraId="44FD3798">
        <w:tblPrEx>
          <w:tblCellMar>
            <w:top w:w="0" w:type="dxa"/>
            <w:left w:w="108" w:type="dxa"/>
            <w:bottom w:w="0" w:type="dxa"/>
            <w:right w:w="108" w:type="dxa"/>
          </w:tblCellMar>
        </w:tblPrEx>
        <w:trPr>
          <w:trHeight w:val="1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C162">
            <w:pPr>
              <w:jc w:val="center"/>
              <w:rPr>
                <w:rFonts w:ascii="宋体" w:hAnsi="宋体" w:eastAsia="宋体" w:cs="宋体"/>
                <w:b/>
                <w:bCs/>
                <w:color w:val="000000"/>
                <w:sz w:val="22"/>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9994">
            <w:pPr>
              <w:jc w:val="center"/>
              <w:rPr>
                <w:rFonts w:ascii="宋体" w:hAnsi="宋体" w:eastAsia="宋体" w:cs="宋体"/>
                <w:b/>
                <w:bCs/>
                <w:color w:val="000000"/>
                <w:sz w:val="18"/>
                <w:szCs w:val="18"/>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9CF2">
            <w:pPr>
              <w:jc w:val="center"/>
              <w:rPr>
                <w:rFonts w:ascii="宋体" w:hAnsi="宋体" w:eastAsia="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9C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自助购电模块</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56A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支持师生通过一卡通自助圈存设备购买电费，可多用户同时操作，购电金额实时到账，满足校园用电缴费需求</w:t>
            </w:r>
          </w:p>
        </w:tc>
      </w:tr>
      <w:tr w14:paraId="7348BCF9">
        <w:tblPrEx>
          <w:tblCellMar>
            <w:top w:w="0" w:type="dxa"/>
            <w:left w:w="108" w:type="dxa"/>
            <w:bottom w:w="0" w:type="dxa"/>
            <w:right w:w="108" w:type="dxa"/>
          </w:tblCellMar>
        </w:tblPrEx>
        <w:trPr>
          <w:trHeight w:val="2217"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D0AA6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w:t>
            </w:r>
          </w:p>
        </w:tc>
        <w:tc>
          <w:tcPr>
            <w:tcW w:w="693" w:type="dxa"/>
            <w:tcBorders>
              <w:top w:val="nil"/>
              <w:left w:val="single" w:color="000000" w:sz="4" w:space="0"/>
              <w:bottom w:val="single" w:color="000000" w:sz="4" w:space="0"/>
              <w:right w:val="single" w:color="000000" w:sz="4" w:space="0"/>
            </w:tcBorders>
            <w:shd w:val="clear" w:color="auto" w:fill="auto"/>
            <w:vAlign w:val="center"/>
          </w:tcPr>
          <w:p w14:paraId="683B2BB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nil"/>
              <w:left w:val="single" w:color="000000" w:sz="4" w:space="0"/>
              <w:bottom w:val="single" w:color="000000" w:sz="4" w:space="0"/>
              <w:right w:val="single" w:color="000000" w:sz="4" w:space="0"/>
            </w:tcBorders>
            <w:shd w:val="clear" w:color="auto" w:fill="auto"/>
            <w:vAlign w:val="center"/>
          </w:tcPr>
          <w:p w14:paraId="40D9B10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消费机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1C1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3AB6">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消费机建议参考以下品牌，提供相同及以上档次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74730E8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(1)杭州松美智能SM-XF612CW、(2)优卡特C-300、(3)新开普SF系列。</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主控芯片IC_Main_A40i-H_BGA468，珠海全志；EMMC，宏芯宇；MCU芯片，珠海全志。安卓系统、功能：同时可以使用M1卡、卡片使用限制区域：设定不同身份的卡片在不同的POS机上进行消费。自由消费、定价消费、自带电池、自动脱机、显示中文信息、营业额统计</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通讯方式：TCP</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通讯距离：无限制；</w:t>
            </w:r>
          </w:p>
        </w:tc>
      </w:tr>
      <w:tr w14:paraId="2612D7BB">
        <w:tblPrEx>
          <w:tblCellMar>
            <w:top w:w="0" w:type="dxa"/>
            <w:left w:w="108" w:type="dxa"/>
            <w:bottom w:w="0" w:type="dxa"/>
            <w:right w:w="108" w:type="dxa"/>
          </w:tblCellMar>
        </w:tblPrEx>
        <w:trPr>
          <w:trHeight w:val="19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795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11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41C">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电表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654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8DC">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电表品牌建议参考以下品牌，提供相同及以上档次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38D10C8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(1)德力西DDS606、(2)正泰DDS666、(3)炬为DDS100。</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功能：贴片IC 复旦微FM17520 QFN_32 IC TM1668 天微TM1668 SOP24  贴片IC 钜泉光电HT6019 LQFP-48 贴片IC 长江存储RC16PNF。脱机版，采用德力西模块，2年保修，安装费</w:t>
            </w:r>
          </w:p>
        </w:tc>
      </w:tr>
      <w:tr w14:paraId="55F5B93B">
        <w:tblPrEx>
          <w:tblCellMar>
            <w:top w:w="0" w:type="dxa"/>
            <w:left w:w="108" w:type="dxa"/>
            <w:bottom w:w="0" w:type="dxa"/>
            <w:right w:w="108" w:type="dxa"/>
          </w:tblCellMar>
        </w:tblPrEx>
        <w:trPr>
          <w:trHeight w:val="10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747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8C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EF6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圈存机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FFF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2FF">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圈存机品牌建议参考以下品牌，提供相同及以上档次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166BFD0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(1)沈阳宝石金卡PD606、(2)优卡特Q2000、(3)新开普QCT-01。</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功能：兆芯KX6000，主板KC6000；个人账户信息查询、挂失、修改密码、查询消费明细、银行圈存转账</w:t>
            </w:r>
          </w:p>
        </w:tc>
      </w:tr>
      <w:tr w14:paraId="67EC6A30">
        <w:tblPrEx>
          <w:tblCellMar>
            <w:top w:w="0" w:type="dxa"/>
            <w:left w:w="108" w:type="dxa"/>
            <w:bottom w:w="0" w:type="dxa"/>
            <w:right w:w="108" w:type="dxa"/>
          </w:tblCellMar>
        </w:tblPrEx>
        <w:trPr>
          <w:trHeight w:val="10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9A7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8C4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50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服务器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6C8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658A">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服务器品牌建议参考以下品牌，提供相同及以上档次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1AB71EA0">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(1)华为泰山(TaiShan 200)2280、(2)联想ThinkSystem SR258、(3)浪潮NF5280M6。</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功能：2颗鲲鹏920/共64核2.6GHZ/64G内存/2块2.4T SAS硬盘/RAID/</w:t>
            </w:r>
          </w:p>
        </w:tc>
      </w:tr>
      <w:tr w14:paraId="424C2148">
        <w:tblPrEx>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EBD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9D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硬件</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52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交换机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5B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F232">
            <w:pPr>
              <w:widowControl/>
              <w:jc w:val="left"/>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交换机品牌建议参考以下品牌，提供相同及以上档次</w:t>
            </w:r>
            <w:r>
              <w:rPr>
                <w:rFonts w:hint="eastAsia" w:ascii="宋体" w:hAnsi="宋体" w:eastAsia="宋体" w:cs="宋体"/>
                <w:b/>
                <w:bCs/>
                <w:i w:val="0"/>
                <w:iCs w:val="0"/>
                <w:color w:val="000000"/>
                <w:kern w:val="0"/>
                <w:sz w:val="18"/>
                <w:szCs w:val="18"/>
                <w:u w:val="none"/>
                <w:lang w:val="en-US" w:eastAsia="zh-CN" w:bidi="ar"/>
              </w:rPr>
              <w:t>且必须为国产品牌</w:t>
            </w:r>
            <w:r>
              <w:rPr>
                <w:rFonts w:hint="eastAsia" w:ascii="宋体" w:hAnsi="宋体" w:eastAsia="宋体" w:cs="宋体"/>
                <w:b/>
                <w:bCs/>
                <w:color w:val="000000"/>
                <w:kern w:val="0"/>
                <w:sz w:val="18"/>
                <w:szCs w:val="18"/>
                <w:lang w:bidi="ar"/>
              </w:rPr>
              <w:t>：</w:t>
            </w:r>
          </w:p>
          <w:p w14:paraId="4C3F8AA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(1)H3C S1016R、(2)华为S1700-16G、(3)锐捷RG-ES116G。</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功能：16个10/100Mbps自适应以太网端口10/100Base-TX：3/4/5类双绞线全双工/半双工自适应IEEE 802.3u，IEEE 802.3，IEEE 802.3x。</w:t>
            </w:r>
          </w:p>
        </w:tc>
      </w:tr>
    </w:tbl>
    <w:p w14:paraId="1051EE2A">
      <w:pPr>
        <w:pStyle w:val="2"/>
        <w:ind w:firstLine="640" w:firstLineChars="200"/>
        <w:rPr>
          <w:rFonts w:ascii="彩虹粗仿宋" w:hAnsi="宋体" w:eastAsia="彩虹粗仿宋"/>
          <w:sz w:val="32"/>
          <w:szCs w:val="32"/>
        </w:rPr>
      </w:pPr>
    </w:p>
    <w:p w14:paraId="6E950A5F">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四、产品质量要求</w:t>
      </w:r>
    </w:p>
    <w:p w14:paraId="4C6118E4">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1.入选供应商提供的软硬件产品应当具备签约合同规定的约定功能；如在合同或其他附件中已指明其他质量或功能要求的，则软硬件产品还应符合该质量或功能要求。</w:t>
      </w:r>
    </w:p>
    <w:p w14:paraId="2E9F7060">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2.入选供应商保证提供给建行的硬件产品已通过软硬件产品原厂商质量测试和检验，并提供质量合格保证。</w:t>
      </w:r>
    </w:p>
    <w:p w14:paraId="4A153AE0">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入选供应商保证软硬件产品不包含任何明显的或主要的缺陷、错误，不包含任何恶意的、破坏性的或可能导致未经授权者侵入、操作、控制计算机或计算机数据的计算机病毒、木马程序、后门程序等程序设计或程序代码。</w:t>
      </w:r>
    </w:p>
    <w:p w14:paraId="2D3DCA7B">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4.软硬件产品必须具有在中国境内的正式合法使用权和销售权，在国内有可靠的技术支持力量。</w:t>
      </w:r>
    </w:p>
    <w:p w14:paraId="6837A04C">
      <w:pPr>
        <w:pStyle w:val="2"/>
      </w:pPr>
      <w:r>
        <w:rPr>
          <w:rFonts w:hint="eastAsia" w:ascii="彩虹粗仿宋" w:hAnsi="宋体" w:eastAsia="彩虹粗仿宋"/>
          <w:sz w:val="32"/>
          <w:szCs w:val="32"/>
        </w:rPr>
        <w:t xml:space="preserve">    5.本次采购的软硬件应当具备建行要求的功能，且不存在任何侵犯第三方知识产权的情形。</w:t>
      </w:r>
    </w:p>
    <w:p w14:paraId="680115A5">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五、供货及安装方案</w:t>
      </w:r>
    </w:p>
    <w:p w14:paraId="004F22E0">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1.配送时间、地点：供应商应在采购合同签订后30个工作日内完成本项目建设工作，具备上线运营能力，并由</w:t>
      </w:r>
      <w:r>
        <w:rPr>
          <w:rFonts w:hint="eastAsia" w:ascii="彩虹粗仿宋" w:hAnsi="宋体" w:eastAsia="彩虹粗仿宋"/>
          <w:sz w:val="32"/>
          <w:szCs w:val="32"/>
        </w:rPr>
        <w:t>玉林高级中学</w:t>
      </w:r>
      <w:r>
        <w:rPr>
          <w:rFonts w:hint="eastAsia" w:ascii="彩虹粗仿宋" w:hAnsi="宋体" w:eastAsia="彩虹粗仿宋" w:cs="Times New Roman"/>
          <w:snapToGrid w:val="0"/>
          <w:kern w:val="0"/>
          <w:sz w:val="32"/>
          <w:szCs w:val="32"/>
        </w:rPr>
        <w:t>、中国建设银行玉林分行共同验收。</w:t>
      </w:r>
    </w:p>
    <w:p w14:paraId="3E006759">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交货地点：玉林高级中学。</w:t>
      </w:r>
    </w:p>
    <w:p w14:paraId="3D224E2F">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须根据产品的不同特性和要求采取防潮、防雨、防锈、防震、防磁等保护措施，以确保产品安全无损地到达交货地点。产品运输、包装、装卸及运输保险费用由供应商负担，产品在转移给我行前的全部风险由供应商承担。</w:t>
      </w:r>
    </w:p>
    <w:p w14:paraId="4940EFA7">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2.安装调试要求</w:t>
      </w:r>
    </w:p>
    <w:p w14:paraId="187A57B6">
      <w:pPr>
        <w:spacing w:line="360" w:lineRule="auto"/>
        <w:ind w:firstLine="640" w:firstLineChars="200"/>
        <w:rPr>
          <w:rFonts w:ascii="彩虹粗仿宋" w:hAnsi="宋体" w:eastAsia="彩虹粗仿宋"/>
          <w:snapToGrid w:val="0"/>
          <w:sz w:val="32"/>
          <w:szCs w:val="32"/>
        </w:rPr>
      </w:pPr>
      <w:r>
        <w:rPr>
          <w:rFonts w:hint="eastAsia" w:ascii="彩虹粗仿宋" w:hAnsi="宋体" w:eastAsia="彩虹粗仿宋" w:cs="Times New Roman"/>
          <w:snapToGrid w:val="0"/>
          <w:kern w:val="0"/>
          <w:sz w:val="32"/>
          <w:szCs w:val="32"/>
        </w:rPr>
        <w:t>商品运至我行指定地点</w:t>
      </w:r>
      <w:r>
        <w:rPr>
          <w:rFonts w:hint="eastAsia" w:ascii="彩虹粗仿宋" w:hAnsi="宋体" w:eastAsia="彩虹粗仿宋"/>
          <w:snapToGrid w:val="0"/>
          <w:sz w:val="32"/>
          <w:szCs w:val="32"/>
        </w:rPr>
        <w:t>、经我行对商品数量、外包装完好程度、品牌、规格初验合格后，供应商须在15日内将商品免费安装、调试完毕。</w:t>
      </w:r>
    </w:p>
    <w:p w14:paraId="1167006B">
      <w:pPr>
        <w:pStyle w:val="3"/>
        <w:adjustRightInd w:val="0"/>
        <w:snapToGrid w:val="0"/>
        <w:spacing w:line="560" w:lineRule="atLeast"/>
        <w:ind w:firstLine="640" w:firstLineChars="200"/>
        <w:rPr>
          <w:rFonts w:ascii="彩虹粗仿宋" w:hAnsi="宋体" w:eastAsia="彩虹粗仿宋"/>
          <w:snapToGrid w:val="0"/>
          <w:sz w:val="32"/>
          <w:szCs w:val="32"/>
        </w:rPr>
      </w:pPr>
      <w:r>
        <w:rPr>
          <w:rFonts w:hint="eastAsia" w:ascii="彩虹粗仿宋" w:hAnsi="宋体" w:eastAsia="彩虹粗仿宋"/>
          <w:snapToGrid w:val="0"/>
          <w:sz w:val="32"/>
          <w:szCs w:val="32"/>
        </w:rPr>
        <w:t>3.验收标准：在验收过程中如发现质量、规格和技术标准不符合合同要求的，</w:t>
      </w:r>
      <w:r>
        <w:rPr>
          <w:rFonts w:hint="eastAsia" w:ascii="彩虹粗仿宋" w:hAnsi="宋体" w:eastAsia="彩虹粗仿宋"/>
          <w:sz w:val="32"/>
          <w:szCs w:val="32"/>
          <w:lang w:val="en-US"/>
        </w:rPr>
        <w:t>玉林高级中学</w:t>
      </w:r>
      <w:r>
        <w:rPr>
          <w:rFonts w:hint="eastAsia" w:ascii="彩虹粗仿宋" w:hAnsi="宋体" w:eastAsia="彩虹粗仿宋"/>
          <w:snapToGrid w:val="0"/>
          <w:sz w:val="32"/>
          <w:szCs w:val="32"/>
        </w:rPr>
        <w:t>及建行可不予接收，损失由供应商自负。</w:t>
      </w:r>
    </w:p>
    <w:p w14:paraId="6BBE5D61">
      <w:pPr>
        <w:pStyle w:val="3"/>
        <w:adjustRightInd w:val="0"/>
        <w:snapToGrid w:val="0"/>
        <w:spacing w:line="560" w:lineRule="atLeast"/>
        <w:ind w:firstLine="640" w:firstLineChars="200"/>
        <w:rPr>
          <w:rFonts w:ascii="彩虹粗仿宋" w:hAnsi="宋体" w:eastAsia="彩虹粗仿宋"/>
          <w:snapToGrid w:val="0"/>
          <w:sz w:val="32"/>
          <w:szCs w:val="32"/>
        </w:rPr>
      </w:pPr>
      <w:r>
        <w:rPr>
          <w:rFonts w:hint="eastAsia" w:ascii="彩虹粗仿宋" w:hAnsi="宋体" w:eastAsia="彩虹粗仿宋"/>
          <w:snapToGrid w:val="0"/>
          <w:sz w:val="32"/>
          <w:szCs w:val="32"/>
        </w:rPr>
        <w:t>4.技术服务：合作期内，对</w:t>
      </w:r>
      <w:r>
        <w:rPr>
          <w:rFonts w:hint="eastAsia" w:ascii="彩虹粗仿宋" w:hAnsi="宋体" w:eastAsia="彩虹粗仿宋"/>
          <w:sz w:val="32"/>
          <w:szCs w:val="32"/>
          <w:lang w:val="en-US"/>
        </w:rPr>
        <w:t>玉林高级中学</w:t>
      </w:r>
      <w:r>
        <w:rPr>
          <w:rFonts w:hint="eastAsia" w:ascii="彩虹粗仿宋" w:hAnsi="宋体" w:eastAsia="彩虹粗仿宋"/>
          <w:snapToGrid w:val="0"/>
          <w:sz w:val="32"/>
          <w:szCs w:val="32"/>
        </w:rPr>
        <w:t>及食堂承包运营商的职工进行培训、指导，协助进行数据通讯接口测试，提供相关技术服务。</w:t>
      </w:r>
    </w:p>
    <w:p w14:paraId="7E2DDD23">
      <w:pPr>
        <w:adjustRightInd w:val="0"/>
        <w:snapToGrid w:val="0"/>
        <w:spacing w:line="360" w:lineRule="auto"/>
        <w:ind w:firstLine="643"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b/>
          <w:snapToGrid w:val="0"/>
          <w:color w:val="000000" w:themeColor="text1"/>
          <w:kern w:val="0"/>
          <w:sz w:val="32"/>
          <w:szCs w:val="32"/>
          <w14:textFill>
            <w14:solidFill>
              <w14:schemeClr w14:val="tx1"/>
            </w14:solidFill>
          </w14:textFill>
        </w:rPr>
        <w:t>六、款项支付要求</w:t>
      </w:r>
    </w:p>
    <w:p w14:paraId="043296D9">
      <w:pPr>
        <w:adjustRightInd w:val="0"/>
        <w:snapToGrid w:val="0"/>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1、本项目的付款方式为转账。完成玉林高级中学校园信息化建设项目软硬件安装、调试、数据初始化等工作，并具备上线运营能力，经由玉林高级中学、甲方和乙方三方进行验收并形成验收报告后，乙方出具合格增值税专用发票，我行支付产品价款的97%，剩余产品价款的3%作为质量保证金，在系统运行满</w:t>
      </w:r>
      <w:r>
        <w:rPr>
          <w:rFonts w:hint="eastAsia" w:ascii="彩虹粗仿宋" w:hAnsi="宋体" w:eastAsia="彩虹粗仿宋"/>
          <w:sz w:val="32"/>
          <w:szCs w:val="32"/>
          <w:lang w:val="en-US" w:eastAsia="zh-CN"/>
        </w:rPr>
        <w:t>5</w:t>
      </w:r>
      <w:r>
        <w:rPr>
          <w:rFonts w:hint="eastAsia" w:ascii="彩虹粗仿宋" w:hAnsi="宋体" w:eastAsia="彩虹粗仿宋"/>
          <w:sz w:val="32"/>
          <w:szCs w:val="32"/>
        </w:rPr>
        <w:t>年且无违约情形下，经建行</w:t>
      </w:r>
      <w:bookmarkStart w:id="0" w:name="_GoBack"/>
      <w:bookmarkEnd w:id="0"/>
      <w:r>
        <w:rPr>
          <w:rFonts w:hint="eastAsia" w:ascii="彩虹粗仿宋" w:hAnsi="宋体" w:eastAsia="彩虹粗仿宋"/>
          <w:sz w:val="32"/>
          <w:szCs w:val="32"/>
        </w:rPr>
        <w:t>验收确认后不计息支付。</w:t>
      </w:r>
    </w:p>
    <w:p w14:paraId="36867B0F">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2、供应商所开具的本项目软件系统增值税专用发票须为系统或软件产品销售发票，我行不接受开票内容为软件开发服务的增值税专用发票。</w:t>
      </w:r>
    </w:p>
    <w:p w14:paraId="58A0CF0D">
      <w:pPr>
        <w:adjustRightInd w:val="0"/>
        <w:snapToGrid w:val="0"/>
        <w:spacing w:line="360" w:lineRule="auto"/>
        <w:ind w:firstLine="640" w:firstLineChars="200"/>
        <w:rPr>
          <w:rFonts w:ascii="彩虹粗仿宋" w:hAnsi="宋体" w:eastAsia="彩虹粗仿宋"/>
          <w:sz w:val="32"/>
          <w:szCs w:val="32"/>
        </w:rPr>
      </w:pPr>
    </w:p>
    <w:p w14:paraId="723D8705">
      <w:pPr>
        <w:adjustRightInd w:val="0"/>
        <w:snapToGrid w:val="0"/>
        <w:spacing w:line="360" w:lineRule="auto"/>
        <w:ind w:firstLine="643"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b/>
          <w:snapToGrid w:val="0"/>
          <w:color w:val="000000" w:themeColor="text1"/>
          <w:kern w:val="0"/>
          <w:sz w:val="32"/>
          <w:szCs w:val="32"/>
          <w14:textFill>
            <w14:solidFill>
              <w14:schemeClr w14:val="tx1"/>
            </w14:solidFill>
          </w14:textFill>
        </w:rPr>
        <w:t>七、报价要求</w:t>
      </w:r>
    </w:p>
    <w:p w14:paraId="20B79C10">
      <w:pPr>
        <w:adjustRightInd w:val="0"/>
        <w:snapToGrid w:val="0"/>
        <w:spacing w:line="360" w:lineRule="auto"/>
        <w:ind w:firstLine="640" w:firstLineChars="200"/>
        <w:rPr>
          <w:rFonts w:ascii="彩虹粗仿宋" w:hAnsi="宋体" w:eastAsia="彩虹粗仿宋" w:cs="Times New Roman"/>
          <w:b/>
          <w:snapToGrid w:val="0"/>
          <w:color w:val="000000" w:themeColor="text1"/>
          <w:kern w:val="0"/>
          <w:sz w:val="32"/>
          <w:szCs w:val="32"/>
          <w14:textFill>
            <w14:solidFill>
              <w14:schemeClr w14:val="tx1"/>
            </w14:solidFill>
          </w14:textFill>
        </w:rPr>
      </w:pPr>
      <w:r>
        <w:rPr>
          <w:rFonts w:hint="eastAsia" w:ascii="彩虹粗仿宋" w:hAnsi="宋体" w:eastAsia="彩虹粗仿宋"/>
          <w:sz w:val="32"/>
          <w:szCs w:val="32"/>
        </w:rPr>
        <w:t>供应商按以下格式报价（报价包含合同产品验收合格前发生的所有费用，报价含税，入选供应商需提供增值税专用发票。</w:t>
      </w:r>
    </w:p>
    <w:tbl>
      <w:tblPr>
        <w:tblStyle w:val="6"/>
        <w:tblW w:w="8720" w:type="dxa"/>
        <w:tblInd w:w="93" w:type="dxa"/>
        <w:tblLayout w:type="autofit"/>
        <w:tblCellMar>
          <w:top w:w="0" w:type="dxa"/>
          <w:left w:w="108" w:type="dxa"/>
          <w:bottom w:w="0" w:type="dxa"/>
          <w:right w:w="108" w:type="dxa"/>
        </w:tblCellMar>
      </w:tblPr>
      <w:tblGrid>
        <w:gridCol w:w="869"/>
        <w:gridCol w:w="879"/>
        <w:gridCol w:w="1763"/>
        <w:gridCol w:w="867"/>
        <w:gridCol w:w="866"/>
        <w:gridCol w:w="869"/>
        <w:gridCol w:w="869"/>
        <w:gridCol w:w="866"/>
        <w:gridCol w:w="872"/>
      </w:tblGrid>
      <w:tr w14:paraId="006DA48C">
        <w:tblPrEx>
          <w:tblCellMar>
            <w:top w:w="0" w:type="dxa"/>
            <w:left w:w="108" w:type="dxa"/>
            <w:bottom w:w="0" w:type="dxa"/>
            <w:right w:w="108" w:type="dxa"/>
          </w:tblCellMar>
        </w:tblPrEx>
        <w:trPr>
          <w:trHeight w:val="1350" w:hRule="atLeast"/>
        </w:trPr>
        <w:tc>
          <w:tcPr>
            <w:tcW w:w="8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C407C">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类型</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3D12CB6F">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设备名称</w:t>
            </w:r>
          </w:p>
        </w:tc>
        <w:tc>
          <w:tcPr>
            <w:tcW w:w="1744" w:type="dxa"/>
            <w:tcBorders>
              <w:top w:val="single" w:color="000000" w:sz="8" w:space="0"/>
              <w:left w:val="nil"/>
              <w:bottom w:val="single" w:color="000000" w:sz="8" w:space="0"/>
              <w:right w:val="single" w:color="000000" w:sz="8" w:space="0"/>
            </w:tcBorders>
            <w:shd w:val="clear" w:color="auto" w:fill="auto"/>
            <w:vAlign w:val="center"/>
          </w:tcPr>
          <w:p w14:paraId="647DF859">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子功能</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3F7121AF">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数量</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0152E38D">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单位</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303646A2">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单价（万元、含税）</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2F343C4E">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单价（万元、不含税）</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397B4C36">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维保期限</w:t>
            </w:r>
          </w:p>
        </w:tc>
        <w:tc>
          <w:tcPr>
            <w:tcW w:w="872" w:type="dxa"/>
            <w:tcBorders>
              <w:top w:val="single" w:color="000000" w:sz="8" w:space="0"/>
              <w:left w:val="nil"/>
              <w:bottom w:val="single" w:color="000000" w:sz="8" w:space="0"/>
              <w:right w:val="single" w:color="000000" w:sz="8" w:space="0"/>
            </w:tcBorders>
            <w:shd w:val="clear" w:color="auto" w:fill="auto"/>
            <w:vAlign w:val="bottom"/>
          </w:tcPr>
          <w:p w14:paraId="436C90E9">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增值税税率（%）</w:t>
            </w:r>
          </w:p>
        </w:tc>
      </w:tr>
      <w:tr w14:paraId="5160ECB7">
        <w:tblPrEx>
          <w:tblCellMar>
            <w:top w:w="0" w:type="dxa"/>
            <w:left w:w="108" w:type="dxa"/>
            <w:bottom w:w="0" w:type="dxa"/>
            <w:right w:w="108" w:type="dxa"/>
          </w:tblCellMar>
        </w:tblPrEx>
        <w:trPr>
          <w:trHeight w:val="399"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185FAFF6">
            <w:pPr>
              <w:widowControl/>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软件</w:t>
            </w:r>
          </w:p>
        </w:tc>
        <w:tc>
          <w:tcPr>
            <w:tcW w:w="872" w:type="dxa"/>
            <w:vMerge w:val="restart"/>
            <w:tcBorders>
              <w:top w:val="nil"/>
              <w:left w:val="nil"/>
              <w:bottom w:val="single" w:color="000000" w:sz="8" w:space="0"/>
              <w:right w:val="single" w:color="000000" w:sz="8" w:space="0"/>
            </w:tcBorders>
            <w:shd w:val="clear" w:color="auto" w:fill="auto"/>
            <w:vAlign w:val="center"/>
          </w:tcPr>
          <w:p w14:paraId="1E466C2A">
            <w:pPr>
              <w:widowControl/>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一卡通管理系统平台</w:t>
            </w:r>
          </w:p>
        </w:tc>
        <w:tc>
          <w:tcPr>
            <w:tcW w:w="1744" w:type="dxa"/>
            <w:tcBorders>
              <w:top w:val="nil"/>
              <w:left w:val="nil"/>
              <w:bottom w:val="single" w:color="000000" w:sz="8" w:space="0"/>
              <w:right w:val="single" w:color="000000" w:sz="8" w:space="0"/>
            </w:tcBorders>
            <w:shd w:val="clear" w:color="auto" w:fill="auto"/>
            <w:vAlign w:val="bottom"/>
          </w:tcPr>
          <w:p w14:paraId="0D69661A">
            <w:pPr>
              <w:widowControl/>
              <w:jc w:val="left"/>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基础管理平台</w:t>
            </w:r>
          </w:p>
        </w:tc>
        <w:tc>
          <w:tcPr>
            <w:tcW w:w="872" w:type="dxa"/>
            <w:vMerge w:val="restart"/>
            <w:tcBorders>
              <w:top w:val="nil"/>
              <w:left w:val="nil"/>
              <w:bottom w:val="single" w:color="000000" w:sz="8" w:space="0"/>
              <w:right w:val="single" w:color="000000" w:sz="8" w:space="0"/>
            </w:tcBorders>
            <w:shd w:val="clear" w:color="auto" w:fill="auto"/>
            <w:vAlign w:val="center"/>
          </w:tcPr>
          <w:p w14:paraId="5F79B64C">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1</w:t>
            </w:r>
          </w:p>
        </w:tc>
        <w:tc>
          <w:tcPr>
            <w:tcW w:w="872" w:type="dxa"/>
            <w:vMerge w:val="restart"/>
            <w:tcBorders>
              <w:top w:val="nil"/>
              <w:left w:val="nil"/>
              <w:bottom w:val="single" w:color="000000" w:sz="8" w:space="0"/>
              <w:right w:val="single" w:color="000000" w:sz="8" w:space="0"/>
            </w:tcBorders>
            <w:shd w:val="clear" w:color="auto" w:fill="auto"/>
            <w:vAlign w:val="center"/>
          </w:tcPr>
          <w:p w14:paraId="6C8C167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套</w:t>
            </w:r>
          </w:p>
        </w:tc>
        <w:tc>
          <w:tcPr>
            <w:tcW w:w="872" w:type="dxa"/>
            <w:vMerge w:val="restart"/>
            <w:tcBorders>
              <w:top w:val="nil"/>
              <w:left w:val="nil"/>
              <w:bottom w:val="single" w:color="000000" w:sz="8" w:space="0"/>
              <w:right w:val="single" w:color="000000" w:sz="8" w:space="0"/>
            </w:tcBorders>
            <w:shd w:val="clear" w:color="auto" w:fill="auto"/>
            <w:vAlign w:val="bottom"/>
          </w:tcPr>
          <w:p w14:paraId="5FB8B2A0">
            <w:pPr>
              <w:jc w:val="center"/>
              <w:rPr>
                <w:rFonts w:ascii="彩虹粗仿宋" w:hAnsi="彩虹粗仿宋" w:eastAsia="彩虹粗仿宋" w:cs="彩虹粗仿宋"/>
                <w:b/>
                <w:bCs/>
                <w:color w:val="000000"/>
                <w:sz w:val="24"/>
                <w:szCs w:val="24"/>
              </w:rPr>
            </w:pPr>
          </w:p>
        </w:tc>
        <w:tc>
          <w:tcPr>
            <w:tcW w:w="872" w:type="dxa"/>
            <w:vMerge w:val="restart"/>
            <w:tcBorders>
              <w:top w:val="nil"/>
              <w:left w:val="nil"/>
              <w:bottom w:val="single" w:color="000000" w:sz="8" w:space="0"/>
              <w:right w:val="single" w:color="000000" w:sz="8" w:space="0"/>
            </w:tcBorders>
            <w:shd w:val="clear" w:color="auto" w:fill="auto"/>
            <w:vAlign w:val="bottom"/>
          </w:tcPr>
          <w:p w14:paraId="0DDC7F94">
            <w:pPr>
              <w:jc w:val="center"/>
              <w:rPr>
                <w:rFonts w:ascii="彩虹粗仿宋" w:hAnsi="彩虹粗仿宋" w:eastAsia="彩虹粗仿宋" w:cs="彩虹粗仿宋"/>
                <w:b/>
                <w:bCs/>
                <w:color w:val="000000"/>
                <w:sz w:val="24"/>
                <w:szCs w:val="24"/>
              </w:rPr>
            </w:pPr>
          </w:p>
        </w:tc>
        <w:tc>
          <w:tcPr>
            <w:tcW w:w="872" w:type="dxa"/>
            <w:vMerge w:val="restart"/>
            <w:tcBorders>
              <w:top w:val="nil"/>
              <w:left w:val="nil"/>
              <w:bottom w:val="single" w:color="000000" w:sz="8" w:space="0"/>
              <w:right w:val="single" w:color="000000" w:sz="8" w:space="0"/>
            </w:tcBorders>
            <w:shd w:val="clear" w:color="auto" w:fill="auto"/>
            <w:vAlign w:val="center"/>
          </w:tcPr>
          <w:p w14:paraId="15D9A976">
            <w:pPr>
              <w:widowControl/>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872" w:type="dxa"/>
            <w:vMerge w:val="restart"/>
            <w:tcBorders>
              <w:top w:val="nil"/>
              <w:left w:val="nil"/>
              <w:bottom w:val="single" w:color="000000" w:sz="8" w:space="0"/>
              <w:right w:val="single" w:color="000000" w:sz="8" w:space="0"/>
            </w:tcBorders>
            <w:shd w:val="clear" w:color="auto" w:fill="auto"/>
            <w:vAlign w:val="bottom"/>
          </w:tcPr>
          <w:p w14:paraId="111B6F7A">
            <w:pPr>
              <w:jc w:val="center"/>
              <w:rPr>
                <w:rFonts w:ascii="彩虹粗仿宋" w:hAnsi="彩虹粗仿宋" w:eastAsia="彩虹粗仿宋" w:cs="彩虹粗仿宋"/>
                <w:b/>
                <w:bCs/>
                <w:color w:val="000000"/>
                <w:sz w:val="24"/>
                <w:szCs w:val="24"/>
              </w:rPr>
            </w:pPr>
          </w:p>
        </w:tc>
      </w:tr>
      <w:tr w14:paraId="06CACBC2">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5CF9136">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25BCC30">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1EEEBD83">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掌银前置模块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693FA353">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1D4D6C29">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7BE8F094">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D26D1DE">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4C6E2E9">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0B29E81">
            <w:pPr>
              <w:jc w:val="center"/>
              <w:rPr>
                <w:rFonts w:ascii="彩虹粗仿宋" w:hAnsi="彩虹粗仿宋" w:eastAsia="彩虹粗仿宋" w:cs="彩虹粗仿宋"/>
                <w:b/>
                <w:bCs/>
                <w:color w:val="000000"/>
                <w:sz w:val="24"/>
                <w:szCs w:val="24"/>
              </w:rPr>
            </w:pPr>
          </w:p>
        </w:tc>
      </w:tr>
      <w:tr w14:paraId="738ECDE1">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0EAD446">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3949CF2">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017295E0">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微信服务模块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10D6CDB7">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5A50392">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C754840">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8C99F07">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B582D09">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C7204DA">
            <w:pPr>
              <w:jc w:val="center"/>
              <w:rPr>
                <w:rFonts w:ascii="彩虹粗仿宋" w:hAnsi="彩虹粗仿宋" w:eastAsia="彩虹粗仿宋" w:cs="彩虹粗仿宋"/>
                <w:b/>
                <w:bCs/>
                <w:color w:val="000000"/>
                <w:sz w:val="24"/>
                <w:szCs w:val="24"/>
              </w:rPr>
            </w:pPr>
          </w:p>
        </w:tc>
      </w:tr>
      <w:tr w14:paraId="134C906A">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102B3360">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7B10F488">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500C5BCC">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食堂消费模块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2CC31C2E">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96C3DCC">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F5EBE68">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63623D6">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1942D1AA">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BE21D3F">
            <w:pPr>
              <w:jc w:val="center"/>
              <w:rPr>
                <w:rFonts w:ascii="彩虹粗仿宋" w:hAnsi="彩虹粗仿宋" w:eastAsia="彩虹粗仿宋" w:cs="彩虹粗仿宋"/>
                <w:b/>
                <w:bCs/>
                <w:color w:val="000000"/>
                <w:sz w:val="24"/>
                <w:szCs w:val="24"/>
              </w:rPr>
            </w:pPr>
          </w:p>
        </w:tc>
      </w:tr>
      <w:tr w14:paraId="47DFA644">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7014769">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668CC51">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0DC37D0C">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部门统计模块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18CA6FDD">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3F0834B">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CEF0A8A">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7358CDB">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F2D1937">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1857F7B0">
            <w:pPr>
              <w:jc w:val="center"/>
              <w:rPr>
                <w:rFonts w:ascii="彩虹粗仿宋" w:hAnsi="彩虹粗仿宋" w:eastAsia="彩虹粗仿宋" w:cs="彩虹粗仿宋"/>
                <w:b/>
                <w:bCs/>
                <w:color w:val="000000"/>
                <w:sz w:val="24"/>
                <w:szCs w:val="24"/>
              </w:rPr>
            </w:pPr>
          </w:p>
        </w:tc>
      </w:tr>
      <w:tr w14:paraId="6A381D4D">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52A7C47">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6D4DC1D">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234BF4C4">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批量充值模块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1537BB50">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A7E4AB1">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A068349">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46B8AF2">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2554553">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16801142">
            <w:pPr>
              <w:jc w:val="center"/>
              <w:rPr>
                <w:rFonts w:ascii="彩虹粗仿宋" w:hAnsi="彩虹粗仿宋" w:eastAsia="彩虹粗仿宋" w:cs="彩虹粗仿宋"/>
                <w:b/>
                <w:bCs/>
                <w:color w:val="000000"/>
                <w:sz w:val="24"/>
                <w:szCs w:val="24"/>
              </w:rPr>
            </w:pPr>
          </w:p>
        </w:tc>
      </w:tr>
      <w:tr w14:paraId="05B71810">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45CFFD1C">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9FE45D3">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4A1D5DB1">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身份限次模块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78A50D59">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2C12911">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7868FB8">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DE32346">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03BB4098">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81C8318">
            <w:pPr>
              <w:jc w:val="center"/>
              <w:rPr>
                <w:rFonts w:ascii="彩虹粗仿宋" w:hAnsi="彩虹粗仿宋" w:eastAsia="彩虹粗仿宋" w:cs="彩虹粗仿宋"/>
                <w:b/>
                <w:bCs/>
                <w:color w:val="000000"/>
                <w:sz w:val="24"/>
                <w:szCs w:val="24"/>
              </w:rPr>
            </w:pPr>
          </w:p>
        </w:tc>
      </w:tr>
      <w:tr w14:paraId="4425451A">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36D1735">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2281E7E">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5908EE06">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补贴模块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5D9E139A">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7CD050B">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C54C847">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B5BF376">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2AC69048">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D855214">
            <w:pPr>
              <w:jc w:val="center"/>
              <w:rPr>
                <w:rFonts w:ascii="彩虹粗仿宋" w:hAnsi="彩虹粗仿宋" w:eastAsia="彩虹粗仿宋" w:cs="彩虹粗仿宋"/>
                <w:b/>
                <w:bCs/>
                <w:color w:val="000000"/>
                <w:sz w:val="24"/>
                <w:szCs w:val="24"/>
              </w:rPr>
            </w:pPr>
          </w:p>
        </w:tc>
      </w:tr>
      <w:tr w14:paraId="441E4849">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59E1E3B4">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3C60036">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4306E360">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设备监控模块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46A3A81E">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347B202">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3BB3026C">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062A9CB0">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5E20734">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47C16294">
            <w:pPr>
              <w:jc w:val="center"/>
              <w:rPr>
                <w:rFonts w:ascii="彩虹粗仿宋" w:hAnsi="彩虹粗仿宋" w:eastAsia="彩虹粗仿宋" w:cs="彩虹粗仿宋"/>
                <w:b/>
                <w:bCs/>
                <w:color w:val="000000"/>
                <w:sz w:val="24"/>
                <w:szCs w:val="24"/>
              </w:rPr>
            </w:pPr>
          </w:p>
        </w:tc>
      </w:tr>
      <w:tr w14:paraId="50F835D4">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0D35ED81">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1622668">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3C577C3E">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第三方接入模块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6F95BE61">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3AB088AF">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A2ABCC8">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78D64C29">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52E786EB">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6A507CC5">
            <w:pPr>
              <w:jc w:val="center"/>
              <w:rPr>
                <w:rFonts w:ascii="彩虹粗仿宋" w:hAnsi="彩虹粗仿宋" w:eastAsia="彩虹粗仿宋" w:cs="彩虹粗仿宋"/>
                <w:b/>
                <w:bCs/>
                <w:color w:val="000000"/>
                <w:sz w:val="24"/>
                <w:szCs w:val="24"/>
              </w:rPr>
            </w:pPr>
          </w:p>
        </w:tc>
      </w:tr>
      <w:tr w14:paraId="7607B65D">
        <w:tblPrEx>
          <w:tblCellMar>
            <w:top w:w="0" w:type="dxa"/>
            <w:left w:w="108" w:type="dxa"/>
            <w:bottom w:w="0" w:type="dxa"/>
            <w:right w:w="108" w:type="dxa"/>
          </w:tblCellMar>
        </w:tblPrEx>
        <w:trPr>
          <w:trHeight w:val="304"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7AD2ABA6">
            <w:pPr>
              <w:jc w:val="left"/>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44FB146D">
            <w:pPr>
              <w:jc w:val="left"/>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043F7F8E">
            <w:pPr>
              <w:widowControl/>
              <w:jc w:val="left"/>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自助购电模块</w:t>
            </w:r>
          </w:p>
        </w:tc>
        <w:tc>
          <w:tcPr>
            <w:tcW w:w="872" w:type="dxa"/>
            <w:vMerge w:val="continue"/>
            <w:tcBorders>
              <w:top w:val="nil"/>
              <w:left w:val="nil"/>
              <w:bottom w:val="single" w:color="000000" w:sz="8" w:space="0"/>
              <w:right w:val="single" w:color="000000" w:sz="8" w:space="0"/>
            </w:tcBorders>
            <w:shd w:val="clear" w:color="auto" w:fill="auto"/>
            <w:vAlign w:val="center"/>
          </w:tcPr>
          <w:p w14:paraId="557B0B21">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2C090F8">
            <w:pPr>
              <w:jc w:val="center"/>
              <w:rPr>
                <w:rFonts w:ascii="宋体" w:hAnsi="宋体" w:eastAsia="宋体" w:cs="宋体"/>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13E1887A">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5427CEAC">
            <w:pPr>
              <w:jc w:val="cente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center"/>
          </w:tcPr>
          <w:p w14:paraId="6528ADFF">
            <w:pPr>
              <w:rPr>
                <w:rFonts w:ascii="彩虹粗仿宋" w:hAnsi="彩虹粗仿宋" w:eastAsia="彩虹粗仿宋" w:cs="彩虹粗仿宋"/>
                <w:b/>
                <w:bCs/>
                <w:color w:val="000000"/>
                <w:sz w:val="24"/>
                <w:szCs w:val="24"/>
              </w:rPr>
            </w:pPr>
          </w:p>
        </w:tc>
        <w:tc>
          <w:tcPr>
            <w:tcW w:w="872" w:type="dxa"/>
            <w:vMerge w:val="continue"/>
            <w:tcBorders>
              <w:top w:val="nil"/>
              <w:left w:val="nil"/>
              <w:bottom w:val="single" w:color="000000" w:sz="8" w:space="0"/>
              <w:right w:val="single" w:color="000000" w:sz="8" w:space="0"/>
            </w:tcBorders>
            <w:shd w:val="clear" w:color="auto" w:fill="auto"/>
            <w:vAlign w:val="bottom"/>
          </w:tcPr>
          <w:p w14:paraId="2A6FCF2B">
            <w:pPr>
              <w:jc w:val="center"/>
              <w:rPr>
                <w:rFonts w:ascii="彩虹粗仿宋" w:hAnsi="彩虹粗仿宋" w:eastAsia="彩虹粗仿宋" w:cs="彩虹粗仿宋"/>
                <w:b/>
                <w:bCs/>
                <w:color w:val="000000"/>
                <w:sz w:val="24"/>
                <w:szCs w:val="24"/>
              </w:rPr>
            </w:pPr>
          </w:p>
        </w:tc>
      </w:tr>
      <w:tr w14:paraId="66C6158A">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3DC1C932">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2777ECE1">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消费机</w:t>
            </w:r>
          </w:p>
        </w:tc>
        <w:tc>
          <w:tcPr>
            <w:tcW w:w="0" w:type="auto"/>
            <w:tcBorders>
              <w:top w:val="nil"/>
              <w:left w:val="nil"/>
              <w:bottom w:val="single" w:color="000000" w:sz="8" w:space="0"/>
              <w:right w:val="single" w:color="000000" w:sz="8" w:space="0"/>
            </w:tcBorders>
            <w:shd w:val="clear" w:color="auto" w:fill="auto"/>
            <w:noWrap/>
            <w:vAlign w:val="bottom"/>
          </w:tcPr>
          <w:p w14:paraId="76B24F74">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181FF9D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80</w:t>
            </w:r>
          </w:p>
        </w:tc>
        <w:tc>
          <w:tcPr>
            <w:tcW w:w="0" w:type="auto"/>
            <w:tcBorders>
              <w:top w:val="nil"/>
              <w:left w:val="nil"/>
              <w:bottom w:val="single" w:color="000000" w:sz="8" w:space="0"/>
              <w:right w:val="single" w:color="000000" w:sz="8" w:space="0"/>
            </w:tcBorders>
            <w:shd w:val="clear" w:color="auto" w:fill="auto"/>
            <w:noWrap/>
            <w:vAlign w:val="bottom"/>
          </w:tcPr>
          <w:p w14:paraId="67C607C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312E53E4">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5CF7F89C">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41175533">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59AB4CA1">
            <w:pPr>
              <w:rPr>
                <w:rFonts w:ascii="宋体" w:hAnsi="宋体" w:eastAsia="宋体" w:cs="宋体"/>
                <w:b/>
                <w:bCs/>
                <w:color w:val="000000"/>
                <w:sz w:val="22"/>
              </w:rPr>
            </w:pPr>
          </w:p>
        </w:tc>
      </w:tr>
      <w:tr w14:paraId="4A31E936">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216C0076">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766E304F">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电表</w:t>
            </w:r>
          </w:p>
        </w:tc>
        <w:tc>
          <w:tcPr>
            <w:tcW w:w="0" w:type="auto"/>
            <w:tcBorders>
              <w:top w:val="nil"/>
              <w:left w:val="nil"/>
              <w:bottom w:val="single" w:color="000000" w:sz="8" w:space="0"/>
              <w:right w:val="single" w:color="000000" w:sz="8" w:space="0"/>
            </w:tcBorders>
            <w:shd w:val="clear" w:color="auto" w:fill="auto"/>
            <w:noWrap/>
            <w:vAlign w:val="bottom"/>
          </w:tcPr>
          <w:p w14:paraId="44AFD7A8">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7646400B">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960</w:t>
            </w:r>
          </w:p>
        </w:tc>
        <w:tc>
          <w:tcPr>
            <w:tcW w:w="0" w:type="auto"/>
            <w:tcBorders>
              <w:top w:val="nil"/>
              <w:left w:val="nil"/>
              <w:bottom w:val="single" w:color="000000" w:sz="8" w:space="0"/>
              <w:right w:val="single" w:color="000000" w:sz="8" w:space="0"/>
            </w:tcBorders>
            <w:shd w:val="clear" w:color="auto" w:fill="auto"/>
            <w:noWrap/>
            <w:vAlign w:val="bottom"/>
          </w:tcPr>
          <w:p w14:paraId="773BA560">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0" w:type="auto"/>
            <w:tcBorders>
              <w:top w:val="nil"/>
              <w:left w:val="nil"/>
              <w:bottom w:val="single" w:color="000000" w:sz="8" w:space="0"/>
              <w:right w:val="single" w:color="000000" w:sz="8" w:space="0"/>
            </w:tcBorders>
            <w:shd w:val="clear" w:color="auto" w:fill="auto"/>
            <w:noWrap/>
            <w:vAlign w:val="bottom"/>
          </w:tcPr>
          <w:p w14:paraId="41F3A2B1">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0FCC437B">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296C75CA">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2年</w:t>
            </w:r>
          </w:p>
        </w:tc>
        <w:tc>
          <w:tcPr>
            <w:tcW w:w="0" w:type="auto"/>
            <w:tcBorders>
              <w:top w:val="nil"/>
              <w:left w:val="nil"/>
              <w:bottom w:val="single" w:color="000000" w:sz="8" w:space="0"/>
              <w:right w:val="single" w:color="000000" w:sz="8" w:space="0"/>
            </w:tcBorders>
            <w:shd w:val="clear" w:color="auto" w:fill="auto"/>
            <w:noWrap/>
            <w:vAlign w:val="bottom"/>
          </w:tcPr>
          <w:p w14:paraId="650138F6">
            <w:pPr>
              <w:rPr>
                <w:rFonts w:ascii="宋体" w:hAnsi="宋体" w:eastAsia="宋体" w:cs="宋体"/>
                <w:b/>
                <w:bCs/>
                <w:color w:val="000000"/>
                <w:sz w:val="22"/>
              </w:rPr>
            </w:pPr>
          </w:p>
        </w:tc>
      </w:tr>
      <w:tr w14:paraId="3CC6C582">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00FFFC0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310FBD87">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圈存机</w:t>
            </w:r>
          </w:p>
        </w:tc>
        <w:tc>
          <w:tcPr>
            <w:tcW w:w="0" w:type="auto"/>
            <w:tcBorders>
              <w:top w:val="nil"/>
              <w:left w:val="nil"/>
              <w:bottom w:val="single" w:color="000000" w:sz="8" w:space="0"/>
              <w:right w:val="single" w:color="000000" w:sz="8" w:space="0"/>
            </w:tcBorders>
            <w:shd w:val="clear" w:color="auto" w:fill="auto"/>
            <w:noWrap/>
            <w:vAlign w:val="bottom"/>
          </w:tcPr>
          <w:p w14:paraId="4F17E1C8">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3C81639D">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2</w:t>
            </w:r>
          </w:p>
        </w:tc>
        <w:tc>
          <w:tcPr>
            <w:tcW w:w="0" w:type="auto"/>
            <w:tcBorders>
              <w:top w:val="nil"/>
              <w:left w:val="nil"/>
              <w:bottom w:val="single" w:color="000000" w:sz="8" w:space="0"/>
              <w:right w:val="single" w:color="000000" w:sz="8" w:space="0"/>
            </w:tcBorders>
            <w:shd w:val="clear" w:color="auto" w:fill="auto"/>
            <w:noWrap/>
            <w:vAlign w:val="bottom"/>
          </w:tcPr>
          <w:p w14:paraId="1350E9B0">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30FB3FDF">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25F6A49B">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090D5530">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3817A3DA">
            <w:pPr>
              <w:rPr>
                <w:rFonts w:ascii="宋体" w:hAnsi="宋体" w:eastAsia="宋体" w:cs="宋体"/>
                <w:b/>
                <w:bCs/>
                <w:color w:val="000000"/>
                <w:sz w:val="22"/>
              </w:rPr>
            </w:pPr>
          </w:p>
        </w:tc>
      </w:tr>
      <w:tr w14:paraId="5E84A594">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3B49EF11">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546198A2">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服务器</w:t>
            </w:r>
          </w:p>
        </w:tc>
        <w:tc>
          <w:tcPr>
            <w:tcW w:w="0" w:type="auto"/>
            <w:tcBorders>
              <w:top w:val="nil"/>
              <w:left w:val="nil"/>
              <w:bottom w:val="single" w:color="000000" w:sz="8" w:space="0"/>
              <w:right w:val="single" w:color="000000" w:sz="8" w:space="0"/>
            </w:tcBorders>
            <w:shd w:val="clear" w:color="auto" w:fill="auto"/>
            <w:noWrap/>
            <w:vAlign w:val="bottom"/>
          </w:tcPr>
          <w:p w14:paraId="32E51F5E">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2D3E88ED">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0" w:type="auto"/>
            <w:tcBorders>
              <w:top w:val="nil"/>
              <w:left w:val="nil"/>
              <w:bottom w:val="single" w:color="000000" w:sz="8" w:space="0"/>
              <w:right w:val="single" w:color="000000" w:sz="8" w:space="0"/>
            </w:tcBorders>
            <w:shd w:val="clear" w:color="auto" w:fill="auto"/>
            <w:noWrap/>
            <w:vAlign w:val="bottom"/>
          </w:tcPr>
          <w:p w14:paraId="7EB2A59E">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4BFF675A">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755B707B">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012FC011">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4644B19D">
            <w:pPr>
              <w:rPr>
                <w:rFonts w:ascii="宋体" w:hAnsi="宋体" w:eastAsia="宋体" w:cs="宋体"/>
                <w:b/>
                <w:bCs/>
                <w:color w:val="000000"/>
                <w:sz w:val="22"/>
              </w:rPr>
            </w:pPr>
          </w:p>
        </w:tc>
      </w:tr>
      <w:tr w14:paraId="448A05FB">
        <w:tblPrEx>
          <w:tblCellMar>
            <w:top w:w="0" w:type="dxa"/>
            <w:left w:w="108" w:type="dxa"/>
            <w:bottom w:w="0" w:type="dxa"/>
            <w:right w:w="108" w:type="dxa"/>
          </w:tblCellMar>
        </w:tblPrEx>
        <w:trPr>
          <w:trHeight w:val="36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62BE33D6">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硬件</w:t>
            </w:r>
          </w:p>
        </w:tc>
        <w:tc>
          <w:tcPr>
            <w:tcW w:w="0" w:type="auto"/>
            <w:tcBorders>
              <w:top w:val="nil"/>
              <w:left w:val="nil"/>
              <w:bottom w:val="single" w:color="000000" w:sz="8" w:space="0"/>
              <w:right w:val="single" w:color="000000" w:sz="8" w:space="0"/>
            </w:tcBorders>
            <w:shd w:val="clear" w:color="auto" w:fill="auto"/>
            <w:noWrap/>
            <w:vAlign w:val="bottom"/>
          </w:tcPr>
          <w:p w14:paraId="18DFDFD6">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交换机</w:t>
            </w:r>
          </w:p>
        </w:tc>
        <w:tc>
          <w:tcPr>
            <w:tcW w:w="0" w:type="auto"/>
            <w:tcBorders>
              <w:top w:val="nil"/>
              <w:left w:val="nil"/>
              <w:bottom w:val="single" w:color="000000" w:sz="8" w:space="0"/>
              <w:right w:val="single" w:color="000000" w:sz="8" w:space="0"/>
            </w:tcBorders>
            <w:shd w:val="clear" w:color="auto" w:fill="auto"/>
            <w:noWrap/>
            <w:vAlign w:val="bottom"/>
          </w:tcPr>
          <w:p w14:paraId="776D7501">
            <w:pPr>
              <w:widowControl/>
              <w:jc w:val="center"/>
              <w:textAlignment w:val="bottom"/>
              <w:rPr>
                <w:rFonts w:ascii="彩虹粗仿宋" w:hAnsi="彩虹粗仿宋" w:eastAsia="彩虹粗仿宋" w:cs="彩虹粗仿宋"/>
                <w:b/>
                <w:bCs/>
                <w:color w:val="000000"/>
                <w:sz w:val="22"/>
              </w:rPr>
            </w:pPr>
            <w:r>
              <w:rPr>
                <w:rFonts w:hint="eastAsia" w:ascii="彩虹粗仿宋" w:hAnsi="彩虹粗仿宋" w:eastAsia="彩虹粗仿宋" w:cs="彩虹粗仿宋"/>
                <w:b/>
                <w:bCs/>
                <w:color w:val="000000"/>
                <w:kern w:val="0"/>
                <w:sz w:val="22"/>
                <w:lang w:bidi="ar"/>
              </w:rPr>
              <w:t>/</w:t>
            </w:r>
          </w:p>
        </w:tc>
        <w:tc>
          <w:tcPr>
            <w:tcW w:w="0" w:type="auto"/>
            <w:tcBorders>
              <w:top w:val="nil"/>
              <w:left w:val="nil"/>
              <w:bottom w:val="single" w:color="000000" w:sz="8" w:space="0"/>
              <w:right w:val="single" w:color="000000" w:sz="8" w:space="0"/>
            </w:tcBorders>
            <w:shd w:val="clear" w:color="auto" w:fill="auto"/>
            <w:noWrap/>
            <w:vAlign w:val="bottom"/>
          </w:tcPr>
          <w:p w14:paraId="1609E90F">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5</w:t>
            </w:r>
          </w:p>
        </w:tc>
        <w:tc>
          <w:tcPr>
            <w:tcW w:w="0" w:type="auto"/>
            <w:tcBorders>
              <w:top w:val="nil"/>
              <w:left w:val="nil"/>
              <w:bottom w:val="single" w:color="000000" w:sz="8" w:space="0"/>
              <w:right w:val="single" w:color="000000" w:sz="8" w:space="0"/>
            </w:tcBorders>
            <w:shd w:val="clear" w:color="auto" w:fill="auto"/>
            <w:noWrap/>
            <w:vAlign w:val="bottom"/>
          </w:tcPr>
          <w:p w14:paraId="1F2F3F32">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台</w:t>
            </w:r>
          </w:p>
        </w:tc>
        <w:tc>
          <w:tcPr>
            <w:tcW w:w="0" w:type="auto"/>
            <w:tcBorders>
              <w:top w:val="nil"/>
              <w:left w:val="nil"/>
              <w:bottom w:val="single" w:color="000000" w:sz="8" w:space="0"/>
              <w:right w:val="single" w:color="000000" w:sz="8" w:space="0"/>
            </w:tcBorders>
            <w:shd w:val="clear" w:color="auto" w:fill="auto"/>
            <w:noWrap/>
            <w:vAlign w:val="bottom"/>
          </w:tcPr>
          <w:p w14:paraId="61F514B9">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77A080AD">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4E7C4BBF">
            <w:pPr>
              <w:widowControl/>
              <w:jc w:val="center"/>
              <w:textAlignment w:val="bottom"/>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5年</w:t>
            </w:r>
          </w:p>
        </w:tc>
        <w:tc>
          <w:tcPr>
            <w:tcW w:w="0" w:type="auto"/>
            <w:tcBorders>
              <w:top w:val="nil"/>
              <w:left w:val="nil"/>
              <w:bottom w:val="single" w:color="000000" w:sz="8" w:space="0"/>
              <w:right w:val="single" w:color="000000" w:sz="8" w:space="0"/>
            </w:tcBorders>
            <w:shd w:val="clear" w:color="auto" w:fill="auto"/>
            <w:noWrap/>
            <w:vAlign w:val="bottom"/>
          </w:tcPr>
          <w:p w14:paraId="47527587">
            <w:pPr>
              <w:rPr>
                <w:rFonts w:ascii="宋体" w:hAnsi="宋体" w:eastAsia="宋体" w:cs="宋体"/>
                <w:b/>
                <w:bCs/>
                <w:color w:val="000000"/>
                <w:sz w:val="22"/>
              </w:rPr>
            </w:pPr>
          </w:p>
        </w:tc>
      </w:tr>
      <w:tr w14:paraId="27AE3FB1">
        <w:tblPrEx>
          <w:tblCellMar>
            <w:top w:w="0" w:type="dxa"/>
            <w:left w:w="108" w:type="dxa"/>
            <w:bottom w:w="0" w:type="dxa"/>
            <w:right w:w="108" w:type="dxa"/>
          </w:tblCellMar>
        </w:tblPrEx>
        <w:trPr>
          <w:trHeight w:val="384" w:hRule="atLeast"/>
        </w:trPr>
        <w:tc>
          <w:tcPr>
            <w:tcW w:w="0" w:type="auto"/>
            <w:tcBorders>
              <w:top w:val="nil"/>
              <w:left w:val="single" w:color="000000" w:sz="8" w:space="0"/>
              <w:bottom w:val="single" w:color="000000" w:sz="8" w:space="0"/>
              <w:right w:val="single" w:color="000000" w:sz="8" w:space="0"/>
            </w:tcBorders>
            <w:shd w:val="clear" w:color="auto" w:fill="auto"/>
            <w:noWrap/>
            <w:vAlign w:val="bottom"/>
          </w:tcPr>
          <w:p w14:paraId="507BE01A">
            <w:pPr>
              <w:widowControl/>
              <w:jc w:val="center"/>
              <w:textAlignment w:val="bottom"/>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0" w:type="auto"/>
            <w:tcBorders>
              <w:top w:val="nil"/>
              <w:left w:val="nil"/>
              <w:bottom w:val="single" w:color="000000" w:sz="8" w:space="0"/>
              <w:right w:val="single" w:color="000000" w:sz="8" w:space="0"/>
            </w:tcBorders>
            <w:shd w:val="clear" w:color="auto" w:fill="auto"/>
            <w:noWrap/>
            <w:vAlign w:val="bottom"/>
          </w:tcPr>
          <w:p w14:paraId="42DF807F">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4AEDCF82">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7245EE7C">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308D2FD8">
            <w:pPr>
              <w:jc w:val="cente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25B08FFD">
            <w:pPr>
              <w:rPr>
                <w:rFonts w:ascii="宋体" w:hAnsi="宋体" w:eastAsia="宋体" w:cs="宋体"/>
                <w:b/>
                <w:bCs/>
                <w:color w:val="000000"/>
                <w:sz w:val="22"/>
              </w:rPr>
            </w:pPr>
          </w:p>
        </w:tc>
        <w:tc>
          <w:tcPr>
            <w:tcW w:w="0" w:type="auto"/>
            <w:tcBorders>
              <w:top w:val="nil"/>
              <w:left w:val="nil"/>
              <w:bottom w:val="single" w:color="000000" w:sz="8" w:space="0"/>
              <w:right w:val="single" w:color="000000" w:sz="8" w:space="0"/>
            </w:tcBorders>
            <w:shd w:val="clear" w:color="auto" w:fill="auto"/>
            <w:noWrap/>
            <w:vAlign w:val="bottom"/>
          </w:tcPr>
          <w:p w14:paraId="3E7A3156">
            <w:pPr>
              <w:rPr>
                <w:rFonts w:ascii="宋体" w:hAnsi="宋体" w:eastAsia="宋体" w:cs="宋体"/>
                <w:b/>
                <w:bCs/>
                <w:color w:val="000000"/>
                <w:sz w:val="22"/>
              </w:rPr>
            </w:pPr>
          </w:p>
        </w:tc>
        <w:tc>
          <w:tcPr>
            <w:tcW w:w="872" w:type="dxa"/>
            <w:tcBorders>
              <w:top w:val="nil"/>
              <w:left w:val="nil"/>
              <w:bottom w:val="single" w:color="000000" w:sz="8" w:space="0"/>
              <w:right w:val="single" w:color="000000" w:sz="8" w:space="0"/>
            </w:tcBorders>
            <w:shd w:val="clear" w:color="auto" w:fill="auto"/>
            <w:vAlign w:val="bottom"/>
          </w:tcPr>
          <w:p w14:paraId="1DDFCE6C">
            <w:pPr>
              <w:jc w:val="center"/>
              <w:rPr>
                <w:rFonts w:ascii="彩虹粗仿宋" w:hAnsi="彩虹粗仿宋" w:eastAsia="彩虹粗仿宋" w:cs="彩虹粗仿宋"/>
                <w:b/>
                <w:bCs/>
                <w:color w:val="000000"/>
                <w:sz w:val="24"/>
                <w:szCs w:val="24"/>
              </w:rPr>
            </w:pPr>
          </w:p>
        </w:tc>
        <w:tc>
          <w:tcPr>
            <w:tcW w:w="0" w:type="auto"/>
            <w:tcBorders>
              <w:top w:val="nil"/>
              <w:left w:val="nil"/>
              <w:bottom w:val="single" w:color="000000" w:sz="8" w:space="0"/>
              <w:right w:val="single" w:color="000000" w:sz="8" w:space="0"/>
            </w:tcBorders>
            <w:shd w:val="clear" w:color="auto" w:fill="auto"/>
            <w:noWrap/>
            <w:vAlign w:val="bottom"/>
          </w:tcPr>
          <w:p w14:paraId="1B4AB798">
            <w:pPr>
              <w:rPr>
                <w:rFonts w:ascii="宋体" w:hAnsi="宋体" w:eastAsia="宋体" w:cs="宋体"/>
                <w:color w:val="000000"/>
                <w:sz w:val="22"/>
              </w:rPr>
            </w:pPr>
          </w:p>
        </w:tc>
      </w:tr>
    </w:tbl>
    <w:p w14:paraId="7357E8F0">
      <w:pPr>
        <w:spacing w:line="360" w:lineRule="auto"/>
        <w:ind w:firstLine="640" w:firstLineChars="200"/>
        <w:rPr>
          <w:rFonts w:ascii="彩虹粗仿宋" w:hAnsi="宋体" w:eastAsia="彩虹粗仿宋"/>
          <w:color w:val="000000" w:themeColor="text1"/>
          <w:sz w:val="32"/>
          <w:szCs w:val="32"/>
          <w14:textFill>
            <w14:solidFill>
              <w14:schemeClr w14:val="tx1"/>
            </w14:solidFill>
          </w14:textFill>
        </w:rPr>
      </w:pPr>
    </w:p>
    <w:p w14:paraId="042EB2A2">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八、售后服务要求</w:t>
      </w:r>
    </w:p>
    <w:p w14:paraId="2C485B9E">
      <w:pPr>
        <w:spacing w:line="560" w:lineRule="exact"/>
        <w:ind w:firstLine="627" w:firstLineChars="196"/>
        <w:rPr>
          <w:rFonts w:ascii="彩虹粗仿宋" w:hAnsi="宋体" w:eastAsia="彩虹粗仿宋" w:cs="Times New Roman"/>
          <w:b/>
          <w:snapToGrid w:val="0"/>
          <w:color w:val="FF0000"/>
          <w:kern w:val="0"/>
          <w:sz w:val="32"/>
          <w:szCs w:val="32"/>
        </w:rPr>
      </w:pPr>
      <w:r>
        <w:rPr>
          <w:rFonts w:hint="eastAsia" w:ascii="彩虹粗仿宋" w:hAnsi="宋体" w:eastAsia="彩虹粗仿宋"/>
          <w:sz w:val="32"/>
          <w:szCs w:val="32"/>
        </w:rPr>
        <w:t>1. 7*24小时提供电话、即时聊天工具、远程等技术支持服务，用户问题或者故障需1小时内响应。</w:t>
      </w:r>
    </w:p>
    <w:p w14:paraId="357800C1">
      <w:pPr>
        <w:spacing w:line="560" w:lineRule="exact"/>
        <w:ind w:firstLine="627" w:firstLineChars="196"/>
        <w:rPr>
          <w:rFonts w:ascii="彩虹粗仿宋" w:hAnsi="宋体" w:eastAsia="彩虹粗仿宋"/>
          <w:sz w:val="32"/>
          <w:szCs w:val="32"/>
        </w:rPr>
      </w:pPr>
      <w:r>
        <w:rPr>
          <w:rFonts w:hint="eastAsia" w:ascii="彩虹粗仿宋" w:hAnsi="宋体" w:eastAsia="彩虹粗仿宋"/>
          <w:sz w:val="32"/>
          <w:szCs w:val="32"/>
        </w:rPr>
        <w:t>2.维保期内免费提供玉林高级中学校园信息化建设项目的日常运行维护工作和售后服务，包含免费提供优化升级版本、日常系统操作培训、在线技术指导等</w:t>
      </w:r>
      <w:r>
        <w:rPr>
          <w:rFonts w:ascii="彩虹粗仿宋" w:hAnsi="宋体" w:eastAsia="彩虹粗仿宋"/>
          <w:sz w:val="32"/>
          <w:szCs w:val="32"/>
        </w:rPr>
        <w:t>。</w:t>
      </w:r>
      <w:r>
        <w:rPr>
          <w:rFonts w:hint="eastAsia" w:ascii="彩虹粗仿宋" w:hAnsi="宋体" w:eastAsia="彩虹粗仿宋"/>
          <w:sz w:val="32"/>
          <w:szCs w:val="32"/>
        </w:rPr>
        <w:t>维保期过后，维保服务费用事宜由供应商与玉林高级中学沟通协商承担，</w:t>
      </w:r>
      <w:r>
        <w:rPr>
          <w:rFonts w:hint="eastAsia" w:ascii="彩虹粗仿宋" w:hAnsi="彩虹粗仿宋" w:eastAsia="彩虹粗仿宋"/>
          <w:sz w:val="32"/>
        </w:rPr>
        <w:t>中国建设银行玉林分行</w:t>
      </w:r>
      <w:r>
        <w:rPr>
          <w:rFonts w:hint="eastAsia" w:ascii="彩虹粗仿宋" w:hAnsi="宋体" w:eastAsia="彩虹粗仿宋"/>
          <w:sz w:val="32"/>
          <w:szCs w:val="32"/>
        </w:rPr>
        <w:t>不再承担相关维保服务费用。(维保期详见采购内容表格）</w:t>
      </w:r>
    </w:p>
    <w:p w14:paraId="146623BC">
      <w:pPr>
        <w:spacing w:line="560" w:lineRule="exact"/>
        <w:ind w:firstLine="627" w:firstLineChars="196"/>
        <w:rPr>
          <w:rFonts w:ascii="彩虹粗仿宋" w:hAnsi="彩虹粗仿宋" w:eastAsia="彩虹粗仿宋"/>
          <w:sz w:val="32"/>
        </w:rPr>
      </w:pPr>
      <w:r>
        <w:rPr>
          <w:rFonts w:hint="eastAsia" w:ascii="彩虹粗仿宋" w:hAnsi="彩虹粗仿宋" w:eastAsia="彩虹粗仿宋"/>
          <w:sz w:val="32"/>
        </w:rPr>
        <w:t>3.</w:t>
      </w:r>
      <w:r>
        <w:rPr>
          <w:rFonts w:hint="eastAsia"/>
          <w:sz w:val="28"/>
          <w:szCs w:val="28"/>
        </w:rPr>
        <w:t xml:space="preserve"> </w:t>
      </w:r>
      <w:r>
        <w:rPr>
          <w:rFonts w:hint="eastAsia" w:ascii="彩虹粗仿宋" w:hAnsi="彩虹粗仿宋" w:eastAsia="彩虹粗仿宋"/>
          <w:sz w:val="32"/>
        </w:rPr>
        <w:t>中标供应商不得截留或向第三方泄露所涉及系统的任何信息，敏感数据对接必须在</w:t>
      </w:r>
      <w:r>
        <w:rPr>
          <w:rFonts w:hint="eastAsia" w:ascii="彩虹粗仿宋" w:hAnsi="宋体" w:eastAsia="彩虹粗仿宋"/>
          <w:sz w:val="32"/>
          <w:szCs w:val="32"/>
        </w:rPr>
        <w:t>玉林高级中学场所</w:t>
      </w:r>
      <w:r>
        <w:rPr>
          <w:rFonts w:hint="eastAsia" w:ascii="彩虹粗仿宋" w:hAnsi="彩虹粗仿宋" w:eastAsia="彩虹粗仿宋"/>
          <w:sz w:val="32"/>
        </w:rPr>
        <w:t>内完成，确保相关信息的安全性、保密性，若有违反，将依法追究责任。</w:t>
      </w:r>
    </w:p>
    <w:p w14:paraId="1AF15D16">
      <w:pPr>
        <w:adjustRightInd w:val="0"/>
        <w:snapToGrid w:val="0"/>
        <w:spacing w:line="560" w:lineRule="atLeast"/>
        <w:ind w:firstLine="643" w:firstLineChars="200"/>
        <w:rPr>
          <w:rFonts w:ascii="彩虹粗仿宋" w:hAnsi="宋体" w:eastAsia="彩虹粗仿宋"/>
          <w:b/>
          <w:snapToGrid w:val="0"/>
          <w:color w:val="000000" w:themeColor="text1"/>
          <w:kern w:val="0"/>
          <w:sz w:val="32"/>
          <w:szCs w:val="32"/>
          <w14:textFill>
            <w14:solidFill>
              <w14:schemeClr w14:val="tx1"/>
            </w14:solidFill>
          </w14:textFill>
        </w:rPr>
      </w:pPr>
      <w:r>
        <w:rPr>
          <w:rFonts w:hint="eastAsia" w:ascii="彩虹粗仿宋" w:hAnsi="宋体" w:eastAsia="彩虹粗仿宋"/>
          <w:b/>
          <w:snapToGrid w:val="0"/>
          <w:color w:val="000000" w:themeColor="text1"/>
          <w:kern w:val="0"/>
          <w:sz w:val="32"/>
          <w:szCs w:val="32"/>
          <w14:textFill>
            <w14:solidFill>
              <w14:schemeClr w14:val="tx1"/>
            </w14:solidFill>
          </w14:textFill>
        </w:rPr>
        <w:t>九、其他要求</w:t>
      </w:r>
    </w:p>
    <w:p w14:paraId="4C63AC00">
      <w:pPr>
        <w:spacing w:line="360" w:lineRule="auto"/>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1.禁止进行低价格恶意竞争，一旦发现、查实，取消候选资格和入选资格。</w:t>
      </w:r>
    </w:p>
    <w:p w14:paraId="648CFCC1">
      <w:pPr>
        <w:spacing w:line="360" w:lineRule="auto"/>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2.合同签订单位、发票开具单位必须与本次谈判邀请单位完全一致。</w:t>
      </w:r>
    </w:p>
    <w:p w14:paraId="660D0BD7">
      <w:pPr>
        <w:spacing w:line="360" w:lineRule="auto"/>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3.关于我行及我行客户方面的任何信息均属于商业秘密，供应商须对以上信息严格保密，否则须承担由于泄密对我行造成的一切损失</w:t>
      </w:r>
      <w:r>
        <w:rPr>
          <w:rFonts w:hint="eastAsia" w:ascii="彩虹粗仿宋" w:hAnsi="宋体" w:eastAsia="彩虹粗仿宋"/>
          <w:snapToGrid w:val="0"/>
          <w:color w:val="000000" w:themeColor="text1"/>
          <w:kern w:val="0"/>
          <w:sz w:val="32"/>
          <w:szCs w:val="32"/>
          <w14:textFill>
            <w14:solidFill>
              <w14:schemeClr w14:val="tx1"/>
            </w14:solidFill>
          </w14:textFill>
        </w:rPr>
        <w:t>。</w:t>
      </w:r>
    </w:p>
    <w:p w14:paraId="17ED4CCD">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1F9A"/>
    <w:multiLevelType w:val="singleLevel"/>
    <w:tmpl w:val="81071F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36.194.229:9093/pshare/inner/LJC/file/file/getFileStreamById"/>
  </w:docVars>
  <w:rsids>
    <w:rsidRoot w:val="000C0A62"/>
    <w:rsid w:val="000C0A62"/>
    <w:rsid w:val="000D11AC"/>
    <w:rsid w:val="00180474"/>
    <w:rsid w:val="00390AB9"/>
    <w:rsid w:val="003C0548"/>
    <w:rsid w:val="00413C3D"/>
    <w:rsid w:val="004A505C"/>
    <w:rsid w:val="005D55F6"/>
    <w:rsid w:val="006E12FE"/>
    <w:rsid w:val="007F369B"/>
    <w:rsid w:val="00862ED0"/>
    <w:rsid w:val="009444F7"/>
    <w:rsid w:val="00A810F9"/>
    <w:rsid w:val="01F04E7B"/>
    <w:rsid w:val="0C3C2CC2"/>
    <w:rsid w:val="0CB37466"/>
    <w:rsid w:val="0DED54B7"/>
    <w:rsid w:val="0EF60C67"/>
    <w:rsid w:val="10705D46"/>
    <w:rsid w:val="118D308C"/>
    <w:rsid w:val="16AA1823"/>
    <w:rsid w:val="1E3A04C8"/>
    <w:rsid w:val="20453B74"/>
    <w:rsid w:val="208277B6"/>
    <w:rsid w:val="20AE3103"/>
    <w:rsid w:val="222F3A19"/>
    <w:rsid w:val="22B97392"/>
    <w:rsid w:val="24B64438"/>
    <w:rsid w:val="27E922C7"/>
    <w:rsid w:val="2A220758"/>
    <w:rsid w:val="2A644C69"/>
    <w:rsid w:val="2A721562"/>
    <w:rsid w:val="2B996085"/>
    <w:rsid w:val="2C19696B"/>
    <w:rsid w:val="2ED203A8"/>
    <w:rsid w:val="32282D0A"/>
    <w:rsid w:val="32BE33A3"/>
    <w:rsid w:val="330977FB"/>
    <w:rsid w:val="38A76FDA"/>
    <w:rsid w:val="3A163554"/>
    <w:rsid w:val="3B3128B5"/>
    <w:rsid w:val="3EE25BA0"/>
    <w:rsid w:val="3EFF754F"/>
    <w:rsid w:val="40514153"/>
    <w:rsid w:val="457A6CD5"/>
    <w:rsid w:val="4A9B3EA5"/>
    <w:rsid w:val="4C925F54"/>
    <w:rsid w:val="4CFD0619"/>
    <w:rsid w:val="4D4F2E20"/>
    <w:rsid w:val="4EEC752D"/>
    <w:rsid w:val="524543F1"/>
    <w:rsid w:val="55755964"/>
    <w:rsid w:val="562B03DA"/>
    <w:rsid w:val="56AC6A8B"/>
    <w:rsid w:val="570345E9"/>
    <w:rsid w:val="579C4CBF"/>
    <w:rsid w:val="5B562A12"/>
    <w:rsid w:val="5E1369C5"/>
    <w:rsid w:val="665E5D3F"/>
    <w:rsid w:val="6B812EF8"/>
    <w:rsid w:val="6BF14110"/>
    <w:rsid w:val="6C4F0D7F"/>
    <w:rsid w:val="6CB01193"/>
    <w:rsid w:val="6ED47861"/>
    <w:rsid w:val="72B333DC"/>
    <w:rsid w:val="72C04B6A"/>
    <w:rsid w:val="74BA61BD"/>
    <w:rsid w:val="74D379EE"/>
    <w:rsid w:val="752878E8"/>
    <w:rsid w:val="78EC1A16"/>
    <w:rsid w:val="79E51A9F"/>
    <w:rsid w:val="7A5D5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Arial"/>
      <w:sz w:val="28"/>
      <w:szCs w:val="20"/>
    </w:rPr>
  </w:style>
  <w:style w:type="paragraph" w:styleId="3">
    <w:name w:val="Plain Text"/>
    <w:basedOn w:val="1"/>
    <w:qFormat/>
    <w:uiPriority w:val="0"/>
    <w:rPr>
      <w:rFonts w:ascii="宋体" w:hAnsi="Courier New" w:eastAsia="宋体" w:cs="Times New Roman"/>
      <w:kern w:val="0"/>
      <w:sz w:val="20"/>
      <w:szCs w:val="21"/>
      <w:lang w:val="zh-C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615</Words>
  <Characters>3511</Characters>
  <Lines>29</Lines>
  <Paragraphs>8</Paragraphs>
  <TotalTime>0</TotalTime>
  <ScaleCrop>false</ScaleCrop>
  <LinksUpToDate>false</LinksUpToDate>
  <CharactersWithSpaces>4118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2019-04-01T00:11:00Z</dcterms:created>
  <dc:creator>Apache POI</dc:creator>
  <cp:lastModifiedBy>欧雪美</cp:lastModifiedBy>
  <dcterms:modified xsi:type="dcterms:W3CDTF">2025-11-05T10:28:28Z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83A6069110F542979957C5CA88A44D4A_13</vt:lpwstr>
  </property>
</Properties>
</file>