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年广西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壮族自治区人民医院免疫共沉淀及染色质免疫沉淀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技术服务</w:t>
      </w:r>
      <w:r>
        <w:rPr>
          <w:rFonts w:hint="eastAsia" w:ascii="方正小标宋简体" w:eastAsia="方正小标宋简体"/>
          <w:sz w:val="36"/>
          <w:szCs w:val="36"/>
        </w:rPr>
        <w:t>采购参数</w:t>
      </w:r>
    </w:p>
    <w:bookmarkEnd w:id="0"/>
    <w:p/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Chars="0"/>
        <w:textAlignment w:val="auto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采购内容：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免疫共沉淀实验（CO-IP）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及染色质免疫沉淀（CHIP）科研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服务预算为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万元，采购内容包括：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壮族自治区人民医院委托检测技术服务公司进行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CO-IP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验证STOML1与SOX2是否直接相互作用。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8" w:firstLineChars="19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壮族自治区人民医院委托检测技术服务公司进行CHIP实验探究SOX2是否结合至STOML1基因的启动子。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二、资质要求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、营业执照副本（提供证书复印件加盖公章）；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ind w:firstLine="560" w:firstLineChars="200"/>
        <w:jc w:val="both"/>
        <w:textAlignment w:val="auto"/>
        <w:rPr>
          <w:rFonts w:hint="default" w:ascii="仿宋" w:hAnsi="仿宋" w:eastAsia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服务商应具备</w:t>
      </w:r>
      <w:r>
        <w:rPr>
          <w:rFonts w:hint="eastAsia" w:ascii="仿宋" w:hAnsi="仿宋" w:eastAsia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提供科研服务的场地，主要涉及细胞培养实验室、分子生物学检测实验室</w:t>
      </w:r>
      <w:r>
        <w:rPr>
          <w:rFonts w:ascii="仿宋" w:hAnsi="仿宋" w:eastAsia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2、服务商应具备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生物安全柜、超低温冰箱、冷冻离心机、蛋白电泳仪、实时荧光定量PCR仪等设备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服务商应具备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生物实验所需的试剂购买的渠道和资质，包括细胞培养所需的试剂耗材、CO-IP检测和CHIP-qPCR检测所需的试剂盒等。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、配备专业人员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进行生物实验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840" w:firstLineChars="3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要求：参与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实验及数据分析处理的人员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为本单位具备一年以上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生物实验经验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，接受生物安全培训考试并及格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560" w:left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基因序列验证‌：确保所提供的转录因子SOX2与STOML1基因的序列准确无误，通过比对公共数据库（如GenBank）进行验证，确保基因序列的最新版本被采用。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560" w:left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‌启动子区域选择‌：基于已有的文献报道和生物信息学分析，选定SOX2与STOML1基因上游的潜在启动子区域，确保所选区域包含关键转录因子结合位点。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560" w:left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‌基因表达水平预检测‌：在正式实验前，利用RT-PCR等技术对SOX2与STOML1基因在目标细胞系中的表达水平进行预检测，以评估实验可行性。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27" w:firstLineChars="196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、商务要求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06" w:firstLineChars="145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（一）服务期限：自合同签订之日起至本项目完成验收合格之日止1年内。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11" w:firstLineChars="147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服务要求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1、乙方要按时按质完成检测，保证数据准确可靠。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2、乙方对检测数据有保密义务，不得以此泄密或发表论文。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3、乙方提供所完成实验的步骤，供学术文章撰写使用。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4、乙方向甲方开具发票（如试剂费、服务费和/或检测费等）。如有分批支付，乙方在合同签订后7个工作日内向甲方开具首次支付费的发票。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11" w:firstLineChars="147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（三）报价要求：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CO-IP检测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服务与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CHIP-qPCR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服务分别报价；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2、报价不得超过预算，否则报价无效；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、包括耗材、运输、劳务、管理、利润、税金、保险、协调、培训、售后服务、以及所有的不定因素的风险等蕴含的所有费用；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、某公司报价=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服务报价+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试剂耗材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，最低价中标。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B52DE"/>
    <w:multiLevelType w:val="multilevel"/>
    <w:tmpl w:val="554B52DE"/>
    <w:lvl w:ilvl="0" w:tentative="0">
      <w:start w:val="1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abstractNum w:abstractNumId="1">
    <w:nsid w:val="5E507B3F"/>
    <w:multiLevelType w:val="singleLevel"/>
    <w:tmpl w:val="5E507B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E"/>
    <w:rsid w:val="00011AE6"/>
    <w:rsid w:val="000C5F1E"/>
    <w:rsid w:val="001F784D"/>
    <w:rsid w:val="00215A2D"/>
    <w:rsid w:val="00247593"/>
    <w:rsid w:val="00375A8A"/>
    <w:rsid w:val="00383EDA"/>
    <w:rsid w:val="00396A13"/>
    <w:rsid w:val="003C32FE"/>
    <w:rsid w:val="0047579A"/>
    <w:rsid w:val="00486D17"/>
    <w:rsid w:val="004A0D00"/>
    <w:rsid w:val="00571304"/>
    <w:rsid w:val="00572B41"/>
    <w:rsid w:val="00683772"/>
    <w:rsid w:val="006D044F"/>
    <w:rsid w:val="007369F5"/>
    <w:rsid w:val="007715D1"/>
    <w:rsid w:val="007908A5"/>
    <w:rsid w:val="009C545B"/>
    <w:rsid w:val="00A25FE3"/>
    <w:rsid w:val="00D27641"/>
    <w:rsid w:val="00E806B4"/>
    <w:rsid w:val="00EF05B3"/>
    <w:rsid w:val="00F259F9"/>
    <w:rsid w:val="02311421"/>
    <w:rsid w:val="08330001"/>
    <w:rsid w:val="0F985645"/>
    <w:rsid w:val="11BD13A5"/>
    <w:rsid w:val="15064E11"/>
    <w:rsid w:val="27130D6B"/>
    <w:rsid w:val="287B7B98"/>
    <w:rsid w:val="2A506E02"/>
    <w:rsid w:val="2A752D5A"/>
    <w:rsid w:val="35712F5C"/>
    <w:rsid w:val="3DB1150E"/>
    <w:rsid w:val="443821BB"/>
    <w:rsid w:val="4F3C2AD4"/>
    <w:rsid w:val="514F5C6A"/>
    <w:rsid w:val="5A7B7F0D"/>
    <w:rsid w:val="5DFC3E7A"/>
    <w:rsid w:val="5F48559C"/>
    <w:rsid w:val="67161A0C"/>
    <w:rsid w:val="70C64412"/>
    <w:rsid w:val="7C1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0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1434</Words>
  <Characters>1479</Characters>
  <Lines>10</Lines>
  <Paragraphs>3</Paragraphs>
  <TotalTime>2</TotalTime>
  <ScaleCrop>false</ScaleCrop>
  <LinksUpToDate>false</LinksUpToDate>
  <CharactersWithSpaces>1485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2023-02-01T03:01:00Z</dcterms:created>
  <dc:creator>Administrator</dc:creator>
  <cp:lastModifiedBy>Administrator</cp:lastModifiedBy>
  <dcterms:modified xsi:type="dcterms:W3CDTF">2025-07-03T03:08:11Z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eyJoZGlkIjoiNTU0ZmIwYTQ3NzlmZGUxZmU3Zjk0M2IyZTNmM2IxNjAiLCJ1c2VySWQiOiIzMTQzNTg1MDYifQ==</vt:lpwstr>
  </property>
  <property fmtid="{D5CDD505-2E9C-101B-9397-08002B2CF9AE}" pid="3" name="KSOProductBuildVer">
    <vt:lpwstr>2052-11.1.0.11294</vt:lpwstr>
  </property>
  <property fmtid="{D5CDD505-2E9C-101B-9397-08002B2CF9AE}" pid="4" name="ICV">
    <vt:lpwstr>7E8FC051875E467D8F60B029389F66C7</vt:lpwstr>
  </property>
</Properties>
</file>