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年广西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壮族自治区人民医院转录因子和启动子双荧光素酶验证技术服务</w:t>
      </w:r>
      <w:r>
        <w:rPr>
          <w:rFonts w:hint="eastAsia" w:ascii="方正小标宋简体" w:eastAsia="方正小标宋简体"/>
          <w:sz w:val="36"/>
          <w:szCs w:val="36"/>
        </w:rPr>
        <w:t>采购参数</w:t>
      </w:r>
    </w:p>
    <w:p/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Chars="0"/>
        <w:textAlignment w:val="auto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采购内容：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549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组转录因子和启动子双荧光素酶验证服务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预算为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万元，采购内容包括：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828" w:leftChars="261" w:hanging="280" w:hangingChars="1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年广西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壮族自治区人民医院委托检测技术服务公司进行转录因子SOX2与STOML1基因启动子双荧光素酶验证的定制实验。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839" w:leftChars="261" w:hanging="291" w:hangingChars="104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年广西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壮族自治区人民医院委托检测技术服务公司进行SOX2与STOML1基因启动子双荧光素酶验证的定制实验后，提供检测结果报告并进行判读和统计学分析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640" w:firstLineChars="200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二、资质要求</w:t>
      </w:r>
    </w:p>
    <w:p>
      <w:pPr>
        <w:pStyle w:val="12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0" w:leftChars="0"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、营业执照副本（提供证书复印件加盖公章）；</w:t>
      </w:r>
    </w:p>
    <w:p>
      <w:pPr>
        <w:pStyle w:val="12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服务要求</w:t>
      </w:r>
    </w:p>
    <w:p>
      <w:pPr>
        <w:pStyle w:val="12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转录因子和启动子基因信息确认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985" w:leftChars="0" w:hanging="425" w:firstLine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基因序列验证‌：确保所提供的转录因子SOX2与STOML1基因的序列准确无误，通过比对公共数据库（如GenBank）进行验证，确保基因序列的最新版本被采用。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985" w:leftChars="0" w:hanging="425" w:firstLine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‌启动子区域选择‌：基于已有的文献报道和生物信息学分析，选定SOX2与STOML1基因上游的潜在启动子区域，确保所选区域包含关键转录因子结合位点。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985" w:leftChars="0" w:hanging="425" w:firstLine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‌基因表达水平预检测‌：在正式实验前，利用RT-PCR等技术对SOX2与STOML1基因在目标细胞系中的表达水平进行预检测，以评估实验可行性。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荧光素酶基因质粒构建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5" w:leftChars="0" w:hanging="425" w:firstLine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质粒载体选择‌：根据实验需求选择合适的荧光素酶报告基因载体，确保载体具有高效的转录和翻译效率，同时考虑载体的稳定性和可操作性。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5" w:leftChars="0" w:hanging="425" w:firstLine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‌克隆策略设计‌：设计合理的克隆策略，包括选择合适的酶切位点和连接方法，确保目的基因（启动子区域）能够正确、高效地插入到荧光素酶报告基因载体中。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5" w:leftChars="0" w:hanging="425" w:firstLine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‌质粒质量检测‌：通过酶切鉴定、PCR验证和测序等方法对构建的荧光素酶基因质粒进行质量检测，确保质粒的正确性和完整性。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细胞转染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5" w:leftChars="0" w:hanging="425" w:firstLineChars="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细胞系选择‌：根据实验目的和基因表达特性，选择合适的细胞系进行转染实验，确保细胞系具有稳定的生长状态和适宜的转染效率。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5" w:leftChars="0" w:hanging="425" w:firstLineChars="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‌转染条件优化‌：通过预实验优化转染条件，包括转染试剂的选择、转染浓度和时间的确定等，以提高转染效率和降低细胞毒性。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5" w:leftChars="0" w:hanging="425" w:firstLineChars="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‌转染效率检测‌：利用荧光显微镜观察或流式细胞术等方法检测转染效率，确保转染实验的成功进行。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荧光素酶检测及数据统计分析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6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5" w:leftChars="0" w:hanging="425" w:firstLine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荧光素酶活性检测‌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用双荧光素酶报告系统对转染后的细胞进行荧光素酶活性检测。确保检测过程中使用的试剂和仪器符合实验要求，操作规范，以减少实验误差。在设定的时间点（如转染后24小时、48小时等）收集细胞，按照试剂盒说明书进行荧光素酶活性测定，记录原始数据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6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5" w:leftChars="0" w:hanging="425" w:firstLine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‌数据收集与整理‌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荧光素酶活性检测得到的原始数据进行整理，包括计算相对荧光素酶活性（通常以内参荧光素酶活性进行标准化）。确保数据记录的准确性和完整性，建立数据库或电子表格进行数据存储和管理，便于后续的数据分析和结果呈现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6"/>
        </w:numPr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5" w:leftChars="0" w:hanging="425" w:firstLineChars="0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‌统计分析‌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" w:hAnsi="仿宋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采用适当的统计软件（如SPSS、GraphPad Prism等）对收集到的数据进行统计分析。根据实验设计选择合适的统计方法，如t检验、ANOVA等，以评估转录因子SOX2对STOML1基因启动子活性的影响是否具有统计学意义。绘制图表（如柱状图、折线图等）直观展示实验结果，包括荧光素酶活性的变化趋势、不同实验组间的差异等。同时，对统计结果进行文字描述和解释，确保结论的准确性和可读性。</w:t>
      </w:r>
    </w:p>
    <w:p>
      <w:pPr>
        <w:pStyle w:val="12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627" w:firstLineChars="196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、商务要求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12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630" w:leftChars="196" w:hanging="218" w:hangingChars="78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（一）服务期限：自合同签订之日起至本项目完成验收合格之日止1年内。</w:t>
      </w:r>
    </w:p>
    <w:p>
      <w:pPr>
        <w:pStyle w:val="12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firstLine="411" w:firstLineChars="147"/>
        <w:jc w:val="left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售后服务</w:t>
      </w:r>
    </w:p>
    <w:p>
      <w:pPr>
        <w:pStyle w:val="12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412" w:leftChars="196" w:firstLine="0" w:firstLineChars="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工作日时间内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测技术服务公司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提供技术支持，接到采购方技术咨询或问题反馈后，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个工作日内提供解决方案。</w:t>
      </w:r>
    </w:p>
    <w:p>
      <w:pPr>
        <w:pStyle w:val="12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540" w:lineRule="exact"/>
        <w:ind w:left="420" w:leftChars="200" w:firstLine="0" w:firstLineChars="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定期回访采购方，了解实验结果使用情况和服务满意度，收集意见建议，持续改进服务质量。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96330"/>
    <w:multiLevelType w:val="singleLevel"/>
    <w:tmpl w:val="015963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D6C140F"/>
    <w:multiLevelType w:val="singleLevel"/>
    <w:tmpl w:val="0D6C140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FFEC4B1"/>
    <w:multiLevelType w:val="singleLevel"/>
    <w:tmpl w:val="0FFEC4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3563E50"/>
    <w:multiLevelType w:val="singleLevel"/>
    <w:tmpl w:val="13563E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54B52DE"/>
    <w:multiLevelType w:val="multilevel"/>
    <w:tmpl w:val="554B52DE"/>
    <w:lvl w:ilvl="0" w:tentative="0">
      <w:start w:val="1"/>
      <w:numFmt w:val="japaneseCounting"/>
      <w:lvlText w:val="%1、"/>
      <w:lvlJc w:val="left"/>
      <w:pPr>
        <w:ind w:left="126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9" w:hanging="420"/>
      </w:pPr>
    </w:lvl>
    <w:lvl w:ilvl="2" w:tentative="0">
      <w:start w:val="1"/>
      <w:numFmt w:val="lowerRoman"/>
      <w:lvlText w:val="%3."/>
      <w:lvlJc w:val="right"/>
      <w:pPr>
        <w:ind w:left="1809" w:hanging="420"/>
      </w:pPr>
    </w:lvl>
    <w:lvl w:ilvl="3" w:tentative="0">
      <w:start w:val="1"/>
      <w:numFmt w:val="decimal"/>
      <w:lvlText w:val="%4."/>
      <w:lvlJc w:val="left"/>
      <w:pPr>
        <w:ind w:left="2229" w:hanging="420"/>
      </w:pPr>
    </w:lvl>
    <w:lvl w:ilvl="4" w:tentative="0">
      <w:start w:val="1"/>
      <w:numFmt w:val="lowerLetter"/>
      <w:lvlText w:val="%5)"/>
      <w:lvlJc w:val="left"/>
      <w:pPr>
        <w:ind w:left="2649" w:hanging="420"/>
      </w:pPr>
    </w:lvl>
    <w:lvl w:ilvl="5" w:tentative="0">
      <w:start w:val="1"/>
      <w:numFmt w:val="lowerRoman"/>
      <w:lvlText w:val="%6."/>
      <w:lvlJc w:val="right"/>
      <w:pPr>
        <w:ind w:left="3069" w:hanging="420"/>
      </w:pPr>
    </w:lvl>
    <w:lvl w:ilvl="6" w:tentative="0">
      <w:start w:val="1"/>
      <w:numFmt w:val="decimal"/>
      <w:lvlText w:val="%7."/>
      <w:lvlJc w:val="left"/>
      <w:pPr>
        <w:ind w:left="3489" w:hanging="420"/>
      </w:pPr>
    </w:lvl>
    <w:lvl w:ilvl="7" w:tentative="0">
      <w:start w:val="1"/>
      <w:numFmt w:val="lowerLetter"/>
      <w:lvlText w:val="%8)"/>
      <w:lvlJc w:val="left"/>
      <w:pPr>
        <w:ind w:left="3909" w:hanging="420"/>
      </w:pPr>
    </w:lvl>
    <w:lvl w:ilvl="8" w:tentative="0">
      <w:start w:val="1"/>
      <w:numFmt w:val="lowerRoman"/>
      <w:lvlText w:val="%9."/>
      <w:lvlJc w:val="right"/>
      <w:pPr>
        <w:ind w:left="4329" w:hanging="420"/>
      </w:pPr>
    </w:lvl>
  </w:abstractNum>
  <w:abstractNum w:abstractNumId="5">
    <w:nsid w:val="5F3C5132"/>
    <w:multiLevelType w:val="singleLevel"/>
    <w:tmpl w:val="5F3C51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FE"/>
    <w:rsid w:val="00011AE6"/>
    <w:rsid w:val="000C5F1E"/>
    <w:rsid w:val="001F784D"/>
    <w:rsid w:val="00215A2D"/>
    <w:rsid w:val="00247593"/>
    <w:rsid w:val="00375A8A"/>
    <w:rsid w:val="00383EDA"/>
    <w:rsid w:val="00396A13"/>
    <w:rsid w:val="003C32FE"/>
    <w:rsid w:val="0047579A"/>
    <w:rsid w:val="00486D17"/>
    <w:rsid w:val="004A0D00"/>
    <w:rsid w:val="00571304"/>
    <w:rsid w:val="00572B41"/>
    <w:rsid w:val="00683772"/>
    <w:rsid w:val="006D044F"/>
    <w:rsid w:val="007369F5"/>
    <w:rsid w:val="007715D1"/>
    <w:rsid w:val="007908A5"/>
    <w:rsid w:val="009C545B"/>
    <w:rsid w:val="00A25FE3"/>
    <w:rsid w:val="00D27641"/>
    <w:rsid w:val="00E806B4"/>
    <w:rsid w:val="00EF05B3"/>
    <w:rsid w:val="00F259F9"/>
    <w:rsid w:val="01412F64"/>
    <w:rsid w:val="01DE3C65"/>
    <w:rsid w:val="02311421"/>
    <w:rsid w:val="04476373"/>
    <w:rsid w:val="077C1B78"/>
    <w:rsid w:val="0EB01B25"/>
    <w:rsid w:val="0F985645"/>
    <w:rsid w:val="11BD13A5"/>
    <w:rsid w:val="15064E11"/>
    <w:rsid w:val="151C415D"/>
    <w:rsid w:val="17916637"/>
    <w:rsid w:val="18C2135D"/>
    <w:rsid w:val="18E0345E"/>
    <w:rsid w:val="1DF5078F"/>
    <w:rsid w:val="23C44815"/>
    <w:rsid w:val="27130D6B"/>
    <w:rsid w:val="287B7B98"/>
    <w:rsid w:val="2A506E02"/>
    <w:rsid w:val="2A752D5A"/>
    <w:rsid w:val="329F18B1"/>
    <w:rsid w:val="35712F5C"/>
    <w:rsid w:val="36431803"/>
    <w:rsid w:val="391536CC"/>
    <w:rsid w:val="39D61D1D"/>
    <w:rsid w:val="3DB1150E"/>
    <w:rsid w:val="3F3F2049"/>
    <w:rsid w:val="408D237C"/>
    <w:rsid w:val="45F961DE"/>
    <w:rsid w:val="488C6E91"/>
    <w:rsid w:val="4E947F84"/>
    <w:rsid w:val="4F3C2AD4"/>
    <w:rsid w:val="502F5371"/>
    <w:rsid w:val="5057605B"/>
    <w:rsid w:val="50B341F7"/>
    <w:rsid w:val="514F5C6A"/>
    <w:rsid w:val="53CE3EA4"/>
    <w:rsid w:val="5A7B7F0D"/>
    <w:rsid w:val="65C6605A"/>
    <w:rsid w:val="66D57E15"/>
    <w:rsid w:val="67161A0C"/>
    <w:rsid w:val="673D6B88"/>
    <w:rsid w:val="68095BBE"/>
    <w:rsid w:val="6817328F"/>
    <w:rsid w:val="6AC470BB"/>
    <w:rsid w:val="6B732357"/>
    <w:rsid w:val="6E4E7D14"/>
    <w:rsid w:val="6F911E17"/>
    <w:rsid w:val="70C64412"/>
    <w:rsid w:val="7B7805CE"/>
    <w:rsid w:val="7C1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Times New Roman"/>
      <w:b/>
      <w:bCs/>
      <w:kern w:val="44"/>
      <w:sz w:val="48"/>
      <w:szCs w:val="48"/>
    </w:rPr>
  </w:style>
  <w:style w:type="paragraph" w:customStyle="1" w:styleId="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419</Words>
  <Characters>456</Characters>
  <Lines>10</Lines>
  <Paragraphs>3</Paragraphs>
  <TotalTime>1</TotalTime>
  <ScaleCrop>false</ScaleCrop>
  <LinksUpToDate>false</LinksUpToDate>
  <CharactersWithSpaces>459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2023-02-01T03:01:00Z</dcterms:created>
  <dc:creator>Administrator</dc:creator>
  <cp:lastModifiedBy>Administrator</cp:lastModifiedBy>
  <dcterms:modified xsi:type="dcterms:W3CDTF">2025-07-16T01:28:32Z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eyJoZGlkIjoiZjdjMmRmYzk0MTU4NzlhNTk4ZGJiYzUxYTIzNzQ2YjEiLCJ1c2VySWQiOiIzNTQxMzgzOTYifQ==</vt:lpwstr>
  </property>
  <property fmtid="{D5CDD505-2E9C-101B-9397-08002B2CF9AE}" pid="3" name="KSOProductBuildVer">
    <vt:lpwstr>2052-11.1.0.11294</vt:lpwstr>
  </property>
  <property fmtid="{D5CDD505-2E9C-101B-9397-08002B2CF9AE}" pid="4" name="ICV">
    <vt:lpwstr>583CE10C36044CB1BE040AF242CA724E</vt:lpwstr>
  </property>
</Properties>
</file>