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广西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壮族自治区人民医院</w:t>
      </w:r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组织芯片技术服务</w:t>
      </w:r>
      <w:r>
        <w:rPr>
          <w:rFonts w:hint="eastAsia" w:ascii="方正小标宋简体" w:eastAsia="方正小标宋简体"/>
          <w:sz w:val="36"/>
          <w:szCs w:val="36"/>
        </w:rPr>
        <w:t>采购参数</w:t>
      </w:r>
    </w:p>
    <w:p/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Chars="0"/>
        <w:textAlignment w:val="auto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采购内容：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549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组织芯片及相关技术服务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预算为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万元，采购内容包括：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8" w:firstLineChars="19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壮族自治区人民医院委托供应商进行30例癌和癌旁组织芯片取芯复诊并进行样本的定制实验。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8" w:firstLineChars="19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壮族自治区人民医院委托供应商进行 1张组织芯片的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12标</w:t>
      </w:r>
      <w:r>
        <w:rPr>
          <w:rFonts w:hint="eastAsia" w:ascii="仿宋" w:hAnsi="仿宋" w:eastAsia="仿宋" w:cs="仿宋"/>
          <w:sz w:val="28"/>
          <w:szCs w:val="28"/>
        </w:rPr>
        <w:t>(合计12个抗体，CD8，PD1，CD4，FOXP3，CD163，Ecad​，Vimentin，CD14，CD11B，PDL1，PANCK，KI67）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PCF超多色实验，并进行扫描和组织定量分析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8" w:firstLineChars="19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壮族自治区人民医院委托供应商进行 2张组织芯片捕获区的</w:t>
      </w:r>
      <w:r>
        <w:rPr>
          <w:rFonts w:hint="eastAsia" w:ascii="仿宋" w:hAnsi="仿宋" w:eastAsia="仿宋" w:cs="仿宋"/>
          <w:sz w:val="28"/>
          <w:szCs w:val="28"/>
        </w:rPr>
        <w:t>10X Visium HD FFPE (6.5 mm) 石蜡样本空间转录组实验测序（数据量90G）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8" w:firstLineChars="19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壮族自治区人民医院委托供应商进行 1张组织芯片的6标</w:t>
      </w:r>
      <w:r>
        <w:rPr>
          <w:rFonts w:hint="eastAsia" w:ascii="仿宋" w:hAnsi="仿宋" w:eastAsia="仿宋" w:cs="仿宋"/>
          <w:sz w:val="28"/>
          <w:szCs w:val="28"/>
        </w:rPr>
        <w:t>(合计6个抗体，PGP9.5，CGRP，NGF，ADRB1，HIF-1 a，VEGF)7色荧光免疫组化实验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eastAsia" w:ascii="仿宋" w:hAnsi="仿宋" w:eastAsia="仿宋" w:cs="仿宋"/>
          <w:sz w:val="28"/>
          <w:szCs w:val="28"/>
        </w:rPr>
        <w:t>TissueGnostics（TG）平台的仪器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进行高清扫描和定量分析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8" w:firstLineChars="19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壮族自治区人民医院委托供应商进行 100例的宫颈癌组织芯片的2个蛋白指标的检测，并进行判读和统计学分析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二、资质要求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20" w:firstLineChars="1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、营业执照副本（提供证书复印件加盖公章）；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20" w:firstLineChars="1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合规伦理证明文件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20" w:firstLineChars="1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中 国 ⼈ 类 遗 传 资 源 管 理 办 公 室 ⽂ 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（提供证书复印件加盖公章）；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服务要求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（一）组织芯片定制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 定制要求：根据我方提供的组织样本，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使用基泰公司型号MTA-1的组织阵列仪器，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定制包含[X]个样本点的组织芯片，样本点排列需符合标准阵列格式，方便后续实验操作与分析。组织芯片制作过程需保证样本的完整性和活性，尽量减少对样本组织结构和抗原性的破坏。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 样本处理：对提供的组织样本进行妥善处理，包括但不限于固定、包埋、切片等步骤，确保样本处理过程符合行业标准和规范。若样本存在特殊处理要求，需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与甲方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明确说明处理方案。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 质量控制：交付的组织芯片需附带质量检测报告，报告内容应包括样本的完整性评估、芯片的均一性检测等，确保芯片质量可靠，满足后续实验需求。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）PCF超多色免疫荧光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 技术运用：运用先进的PCF（PhenoCycler - Fusion）技术，对样本进行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抗体的同步精准检测，实现单细胞水平的多色荧光共定位分析，深度解析细胞间及细胞与基质的复杂交互 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 实验样本要求：妥善接收、保存和处理我方提供的样本，实验前对样本进行必要的预处理，确保样本状态符合实验要求。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 数据分析与报告：实验完成后，提供详细的实验报告，包括实验目的、方法、结果、分析等。对实验结果进行深度挖掘，分析细胞间的相互作用关系，提供细胞类型分布、细胞邻域分析等数据，并以可视化图表展示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）10X平台HD空间转录组测序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 技术平台：采用10X Genomics的HD空间转录组测序平台，该平台具备单细胞水平（2×2μm条形码方块）全转录组基因表达分析能力，且组织覆盖无间隙，精准解析细胞间相互作用 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 样本适用性：能处理我方提供的人FFPE样品（包含新鲜切片、存档样本（室温/4℃保存6个月）及封片样本）。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 测序深度标准：测序深度达到行业标准，保证检测低丰度基因表达。每个样本测序数据量不少于[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]G，确保数据完整可靠，满足生物信息学分析需求。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 数据分析服务：提供专业数据分析，包括数据预处理、基因表达定量分析、细胞类型鉴定、空间基因表达可视化分析等。结果以清晰图表和报告呈现，并提供原始数据，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同时协助我方达成高级分析内容，包括结合已发表同癌种单细胞数据联合分析；空间聚类：通过Seurat或Space Ranger软件识别肿瘤区域（如上皮-角蛋白、上皮-免疫状态）。差异表达分析：筛选治疗前后差异表达的基因模块（如干扰素信号通路激活）。 细胞间通讯分析：通过CellPhoneDB解析免疫细胞（如CD8+ T细胞）与肿瘤细胞的配体-受体相互作用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（四）多色免疫荧光实验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 实验技术手段：采用先进的Opal/TSA多标记染色技术，可在同一组织切片样本上复染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种抗原并区别标记 ，利用光谱照相机实现单细胞水平的免疫组化、免疫荧光分析。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 抗体筛选标准：选用严格验证的高特异性抗体，所有抗体需满足多色免疫荧光实验的高特异性要求。抗体来源、品牌、货号及验证报告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需均可朔源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 实验流程细则：实验流程遵循行业规范，包含组织切片预处理、抗原修复、抗体孵育、信号检测等步骤。实验流程及各步骤操作条件、时间控制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等都有报告记录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 结果呈现形式：实验结果以高质量图像和数据呈现，图像清晰显示不同抗原表达位置和强度，数据进行量化分析，提供荧光强度值、阳性细胞比例等指标，并给出统计学分析，明确样本间差异的统计学意义。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伍</w:t>
      </w:r>
      <w:r>
        <w:rPr>
          <w:rFonts w:hint="eastAsia" w:ascii="仿宋" w:hAnsi="仿宋" w:eastAsia="仿宋" w:cs="仿宋"/>
          <w:sz w:val="28"/>
          <w:szCs w:val="28"/>
        </w:rPr>
        <w:t>）免疫组化实验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参数要求：</w:t>
      </w:r>
      <w:r>
        <w:rPr>
          <w:rFonts w:hint="eastAsia" w:ascii="仿宋" w:hAnsi="仿宋" w:eastAsia="仿宋" w:cs="仿宋"/>
          <w:sz w:val="28"/>
          <w:szCs w:val="28"/>
        </w:rPr>
        <w:t>恒温干燥箱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规格型号：PH-070A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产品标准号：140612457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生产商：上海一恒科学仪器有限公司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全自动免疫组化染色系统仪器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规格型号：Autostainer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Link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48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产品标准号：YZB/USA2016-2012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生产商：Dako North America，Inc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</w:rPr>
        <w:t>离心机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规格型号：1-14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生产商：saetorius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</w:rPr>
        <w:t>全自动免疫组化预处理系统仪器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规格型号：PT Link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产品标准号：YZB/USA0528-2012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生产商：Dako North America，Inc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</w:rPr>
        <w:t>ST5010全自动染色剂仪器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规格型号：LEICAST5010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生产商：LEICA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</w:rPr>
        <w:t>Aperio扫描仪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型号：Aperio XT生产商：LEICA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 实验要求：依据标准实验流程进行免疫组化实验，对我方提供的组织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芯片</w:t>
      </w:r>
      <w:r>
        <w:rPr>
          <w:rFonts w:hint="eastAsia" w:ascii="仿宋" w:hAnsi="仿宋" w:eastAsia="仿宋" w:cs="仿宋"/>
          <w:sz w:val="28"/>
          <w:szCs w:val="28"/>
        </w:rPr>
        <w:t>样本进行特定抗原的检测，以确定抗原在组织中的定位和表达水平。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 技术指标：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实验方法：采用常规的免疫组化方法，根据样本和检测抗原的特点选择合适的方法。实验过程中应严格遵循操作规程，进行抗原修复、封闭、一抗孵育、二抗孵育、显色等步骤。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染色效果：染色结果应背景清晰，无明显的非特异性染色，目标抗原染色定位准确，阳性信号明显，能够清晰区分阳性和阴性区域。提供染色后的切片图像，以及对染色结果的评估报告。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质量控制：实验过程中应设置阳性对照和阴性对照，确保实验结果的准确性和可靠性。提供质量控制报告，记录对照实验的结果和实验过程中出现的问题及解决方案。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27" w:firstLineChars="196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、商务要求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06" w:firstLineChars="145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（一）服务期限：自合同签订之日起至本项目完成验收合格之日止1年内。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11" w:firstLineChars="147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售后服务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11" w:firstLineChars="147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工作日时间内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提供技术支持，接到采购方技术咨询或问题反馈后，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个工作日内提供解决方案。</w:t>
      </w:r>
    </w:p>
    <w:p>
      <w:pPr>
        <w:pStyle w:val="10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280" w:firstLineChars="10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定期回访采购方，了解实验结果使用情况和服务满意度，收集意见建议，持续改进服务质量。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B52DE"/>
    <w:multiLevelType w:val="multilevel"/>
    <w:tmpl w:val="554B52DE"/>
    <w:lvl w:ilvl="0" w:tentative="0">
      <w:start w:val="1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E"/>
    <w:rsid w:val="00011AE6"/>
    <w:rsid w:val="000C5F1E"/>
    <w:rsid w:val="001F784D"/>
    <w:rsid w:val="00215A2D"/>
    <w:rsid w:val="00247593"/>
    <w:rsid w:val="00375A8A"/>
    <w:rsid w:val="00383EDA"/>
    <w:rsid w:val="00396A13"/>
    <w:rsid w:val="003C32FE"/>
    <w:rsid w:val="0047579A"/>
    <w:rsid w:val="00486D17"/>
    <w:rsid w:val="004A0D00"/>
    <w:rsid w:val="00571304"/>
    <w:rsid w:val="00572B41"/>
    <w:rsid w:val="00683772"/>
    <w:rsid w:val="006D044F"/>
    <w:rsid w:val="007369F5"/>
    <w:rsid w:val="007715D1"/>
    <w:rsid w:val="007908A5"/>
    <w:rsid w:val="009C545B"/>
    <w:rsid w:val="00A25FE3"/>
    <w:rsid w:val="00D27641"/>
    <w:rsid w:val="00E806B4"/>
    <w:rsid w:val="00EF05B3"/>
    <w:rsid w:val="00F259F9"/>
    <w:rsid w:val="01412F64"/>
    <w:rsid w:val="01DE3C65"/>
    <w:rsid w:val="02311421"/>
    <w:rsid w:val="025263E9"/>
    <w:rsid w:val="04476373"/>
    <w:rsid w:val="077C1B78"/>
    <w:rsid w:val="0A7C3D62"/>
    <w:rsid w:val="0EB01B25"/>
    <w:rsid w:val="0F985645"/>
    <w:rsid w:val="11BD13A5"/>
    <w:rsid w:val="15064E11"/>
    <w:rsid w:val="151C415D"/>
    <w:rsid w:val="17916637"/>
    <w:rsid w:val="18C2135D"/>
    <w:rsid w:val="1DF5078F"/>
    <w:rsid w:val="23C44815"/>
    <w:rsid w:val="27130D6B"/>
    <w:rsid w:val="28285E1A"/>
    <w:rsid w:val="287B7B98"/>
    <w:rsid w:val="2A506E02"/>
    <w:rsid w:val="2A752D5A"/>
    <w:rsid w:val="329F18B1"/>
    <w:rsid w:val="35712F5C"/>
    <w:rsid w:val="391536CC"/>
    <w:rsid w:val="39D61D1D"/>
    <w:rsid w:val="3DB1150E"/>
    <w:rsid w:val="3FEB0A44"/>
    <w:rsid w:val="408D237C"/>
    <w:rsid w:val="44696305"/>
    <w:rsid w:val="45F961DE"/>
    <w:rsid w:val="491E3968"/>
    <w:rsid w:val="4F3C2AD4"/>
    <w:rsid w:val="502F5371"/>
    <w:rsid w:val="5057605B"/>
    <w:rsid w:val="514F5C6A"/>
    <w:rsid w:val="5A7B7F0D"/>
    <w:rsid w:val="65C6605A"/>
    <w:rsid w:val="66083639"/>
    <w:rsid w:val="66D57E15"/>
    <w:rsid w:val="67161A0C"/>
    <w:rsid w:val="67D22BCE"/>
    <w:rsid w:val="68095BBE"/>
    <w:rsid w:val="6817328F"/>
    <w:rsid w:val="6AC470BB"/>
    <w:rsid w:val="6B732357"/>
    <w:rsid w:val="6E4E7D14"/>
    <w:rsid w:val="6F911E17"/>
    <w:rsid w:val="70C64412"/>
    <w:rsid w:val="7B7805CE"/>
    <w:rsid w:val="7C1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0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2202</Words>
  <Characters>2575</Characters>
  <Lines>10</Lines>
  <Paragraphs>3</Paragraphs>
  <TotalTime>61</TotalTime>
  <ScaleCrop>false</ScaleCrop>
  <LinksUpToDate>false</LinksUpToDate>
  <CharactersWithSpaces>2647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2023-02-01T03:01:00Z</dcterms:created>
  <dc:creator>Administrator</dc:creator>
  <cp:lastModifiedBy>Administrator</cp:lastModifiedBy>
  <dcterms:modified xsi:type="dcterms:W3CDTF">2025-07-03T03:08:27Z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eyJoZGlkIjoiOTljNjA4YjdlMjQwM2VhYTY3ZjAyYTA1MjIxN2ExMWYiLCJ1c2VySWQiOiI2NTAyMzcwMzQifQ==</vt:lpwstr>
  </property>
  <property fmtid="{D5CDD505-2E9C-101B-9397-08002B2CF9AE}" pid="3" name="KSOProductBuildVer">
    <vt:lpwstr>2052-11.1.0.11294</vt:lpwstr>
  </property>
  <property fmtid="{D5CDD505-2E9C-101B-9397-08002B2CF9AE}" pid="4" name="ICV">
    <vt:lpwstr>3C720CC8652E4280937626084838BBB0</vt:lpwstr>
  </property>
</Properties>
</file>