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EB0F9">
      <w:pPr>
        <w:pStyle w:val="9"/>
        <w:rPr>
          <w:rFonts w:hint="eastAsia"/>
        </w:rPr>
      </w:pPr>
      <w:bookmarkStart w:id="2" w:name="_GoBack"/>
      <w:bookmarkEnd w:id="2"/>
      <w:bookmarkStart w:id="0" w:name="_Toc512265376"/>
      <w:r>
        <w:rPr>
          <w:rFonts w:hint="eastAsia"/>
        </w:rPr>
        <w:t>第六章  评审方法</w:t>
      </w:r>
      <w:bookmarkEnd w:id="0"/>
    </w:p>
    <w:p w14:paraId="16ED6491">
      <w:pPr>
        <w:spacing w:line="400" w:lineRule="exact"/>
        <w:ind w:firstLine="422" w:firstLineChars="200"/>
        <w:rPr>
          <w:rFonts w:hint="eastAsia" w:ascii="宋体" w:hAnsi="宋体"/>
          <w:b/>
        </w:rPr>
      </w:pPr>
      <w:r>
        <w:rPr>
          <w:rFonts w:hint="eastAsia" w:ascii="宋体" w:hAnsi="宋体"/>
          <w:b/>
        </w:rPr>
        <w:t>一、评审原则</w:t>
      </w:r>
    </w:p>
    <w:p w14:paraId="438EACD1">
      <w:pPr>
        <w:spacing w:line="400" w:lineRule="exact"/>
        <w:ind w:firstLine="420" w:firstLineChars="200"/>
        <w:rPr>
          <w:rFonts w:hint="eastAsia" w:ascii="宋体" w:hAnsi="宋体"/>
        </w:rPr>
      </w:pPr>
      <w:r>
        <w:rPr>
          <w:rFonts w:hint="eastAsia" w:ascii="宋体" w:hAnsi="宋体"/>
        </w:rPr>
        <w:t>（一）磋商小组成：磋商小组由采购人代表和评审专家共</w:t>
      </w:r>
      <w:r>
        <w:rPr>
          <w:rFonts w:ascii="宋体" w:hAnsi="宋体"/>
        </w:rPr>
        <w:t>3</w:t>
      </w:r>
      <w:r>
        <w:rPr>
          <w:rFonts w:hint="eastAsia" w:ascii="宋体" w:hAnsi="宋体"/>
        </w:rPr>
        <w:t>人以上单数组成，其中评审专家人数不得少于磋商小组成员总数的三分之二。</w:t>
      </w:r>
    </w:p>
    <w:p w14:paraId="42C9797B">
      <w:pPr>
        <w:spacing w:line="400" w:lineRule="exact"/>
        <w:ind w:firstLine="420" w:firstLineChars="200"/>
        <w:rPr>
          <w:rFonts w:hint="eastAsia" w:ascii="宋体" w:hAnsi="宋体"/>
        </w:rPr>
      </w:pPr>
      <w:r>
        <w:rPr>
          <w:rFonts w:hint="eastAsia" w:ascii="宋体" w:hAnsi="宋体"/>
        </w:rPr>
        <w:t>（二）评审依据：磋商小组将以磋商文件、响应文件为评审依据，</w:t>
      </w:r>
      <w:r>
        <w:rPr>
          <w:rFonts w:ascii="宋体" w:hAnsi="宋体"/>
          <w:bCs/>
        </w:rPr>
        <w:t>对供应商的</w:t>
      </w:r>
      <w:r>
        <w:rPr>
          <w:rFonts w:hint="eastAsia" w:ascii="宋体" w:hAnsi="宋体"/>
          <w:bCs/>
        </w:rPr>
        <w:t>磋商</w:t>
      </w:r>
      <w:r>
        <w:rPr>
          <w:rFonts w:ascii="宋体" w:hAnsi="宋体"/>
          <w:bCs/>
        </w:rPr>
        <w:t>报价、技术及商务等方面内容按百分制打分</w:t>
      </w:r>
      <w:r>
        <w:rPr>
          <w:rFonts w:hint="eastAsia" w:ascii="宋体" w:hAnsi="宋体"/>
        </w:rPr>
        <w:t>。</w:t>
      </w:r>
    </w:p>
    <w:p w14:paraId="182E2875">
      <w:pPr>
        <w:spacing w:line="400" w:lineRule="exact"/>
        <w:ind w:firstLine="420" w:firstLineChars="200"/>
        <w:rPr>
          <w:rFonts w:hint="eastAsia" w:ascii="宋体" w:hAnsi="宋体"/>
        </w:rPr>
      </w:pPr>
      <w:r>
        <w:rPr>
          <w:rFonts w:hint="eastAsia" w:ascii="宋体" w:hAnsi="宋体"/>
        </w:rPr>
        <w:t>（三）评审方式：以封闭方式进行。</w:t>
      </w:r>
    </w:p>
    <w:p w14:paraId="6A7ADCD4">
      <w:pPr>
        <w:spacing w:line="400" w:lineRule="exact"/>
        <w:ind w:firstLine="420" w:firstLineChars="200"/>
        <w:rPr>
          <w:rFonts w:hint="eastAsia" w:ascii="宋体" w:hAnsi="宋体"/>
        </w:rPr>
      </w:pPr>
      <w:r>
        <w:rPr>
          <w:rFonts w:hint="eastAsia" w:ascii="宋体" w:hAnsi="宋体"/>
        </w:rPr>
        <w:t>（四）</w:t>
      </w:r>
      <w:r>
        <w:rPr>
          <w:rFonts w:hint="eastAsia" w:ascii="宋体" w:hAnsi="宋体"/>
          <w:bCs/>
        </w:rPr>
        <w:t>磋商小组认为，某供应商的最终报价明显低于其他实质性响应磋商文件的供应商的最终报价，有可能影响产品质量或者不能诚信履约的，应当要求其在评标现场合理的时间内提供书面说明，必要时提交相关证明材料；供应商不能证明其报价合理性的，磋商小组应当将其作为未实质性响应磋商文件处理。</w:t>
      </w:r>
    </w:p>
    <w:p w14:paraId="1D47DEB6">
      <w:pPr>
        <w:spacing w:line="400" w:lineRule="exact"/>
        <w:ind w:firstLine="422" w:firstLineChars="200"/>
        <w:rPr>
          <w:rFonts w:hint="eastAsia"/>
          <w:b/>
        </w:rPr>
      </w:pPr>
      <w:r>
        <w:rPr>
          <w:rFonts w:hint="eastAsia"/>
          <w:b/>
        </w:rPr>
        <w:t>二、评定方法</w:t>
      </w:r>
    </w:p>
    <w:p w14:paraId="51132A5F">
      <w:pPr>
        <w:spacing w:line="400" w:lineRule="exact"/>
        <w:ind w:firstLine="420" w:firstLineChars="200"/>
        <w:rPr>
          <w:rFonts w:hint="eastAsia"/>
          <w:bCs/>
        </w:rPr>
      </w:pPr>
      <w:r>
        <w:rPr>
          <w:rFonts w:hint="eastAsia"/>
          <w:bCs/>
        </w:rPr>
        <w:t>（一）对进入详评的，采用百分制综合评分法。</w:t>
      </w:r>
    </w:p>
    <w:p w14:paraId="367A7977">
      <w:pPr>
        <w:spacing w:line="400" w:lineRule="exact"/>
        <w:ind w:firstLine="420" w:firstLineChars="200"/>
        <w:rPr>
          <w:rFonts w:hint="eastAsia"/>
          <w:bCs/>
        </w:rPr>
      </w:pPr>
      <w:r>
        <w:rPr>
          <w:rFonts w:hint="eastAsia"/>
          <w:bCs/>
        </w:rPr>
        <w:t>（二）计分办法（按四舍五入取至百分位）。</w:t>
      </w:r>
    </w:p>
    <w:tbl>
      <w:tblPr>
        <w:tblStyle w:val="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32"/>
        <w:gridCol w:w="5377"/>
      </w:tblGrid>
      <w:tr w14:paraId="1E6A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52D4FD88">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280" w:type="dxa"/>
            <w:noWrap w:val="0"/>
            <w:vAlign w:val="center"/>
          </w:tcPr>
          <w:p w14:paraId="647C8DDC">
            <w:pPr>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709" w:type="dxa"/>
            <w:noWrap w:val="0"/>
            <w:vAlign w:val="center"/>
          </w:tcPr>
          <w:p w14:paraId="6849D0A7">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6909" w:type="dxa"/>
            <w:gridSpan w:val="2"/>
            <w:noWrap w:val="0"/>
            <w:vAlign w:val="center"/>
          </w:tcPr>
          <w:p w14:paraId="765ADAB0">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6111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42D97772">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280" w:type="dxa"/>
            <w:noWrap w:val="0"/>
            <w:vAlign w:val="center"/>
          </w:tcPr>
          <w:p w14:paraId="5509BC17">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709" w:type="dxa"/>
            <w:noWrap w:val="0"/>
            <w:vAlign w:val="center"/>
          </w:tcPr>
          <w:p w14:paraId="4998BF36">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lang w:val="en-US" w:eastAsia="zh-CN"/>
              </w:rPr>
              <w:t>10</w:t>
            </w:r>
            <w:r>
              <w:rPr>
                <w:rFonts w:hint="eastAsia" w:ascii="宋体" w:hAnsi="宋体"/>
                <w:b/>
                <w:color w:val="auto"/>
                <w:szCs w:val="21"/>
                <w:highlight w:val="none"/>
              </w:rPr>
              <w:t>分</w:t>
            </w:r>
          </w:p>
        </w:tc>
        <w:tc>
          <w:tcPr>
            <w:tcW w:w="6909" w:type="dxa"/>
            <w:gridSpan w:val="2"/>
            <w:noWrap w:val="0"/>
            <w:vAlign w:val="center"/>
          </w:tcPr>
          <w:p w14:paraId="51D5DF72">
            <w:pPr>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综合评分法中的价格分统一采用低价优先法计算，即满足磋商文件要求且最终报价最低的供应商的价格为磋商基准价，其价格分为满分。其他供应商的价格分统一按照下列公式计算：                          </w:t>
            </w:r>
          </w:p>
          <w:p w14:paraId="3127D700">
            <w:pPr>
              <w:pStyle w:val="5"/>
              <w:spacing w:before="120" w:beforeLines="50" w:line="260" w:lineRule="exact"/>
              <w:ind w:firstLine="400" w:firstLineChars="200"/>
              <w:rPr>
                <w:rFonts w:hint="eastAsia" w:hAnsi="宋体"/>
                <w:bCs/>
                <w:color w:val="auto"/>
                <w:szCs w:val="21"/>
                <w:highlight w:val="none"/>
              </w:rPr>
            </w:pPr>
            <w:r>
              <w:rPr>
                <w:rFonts w:hint="eastAsia" w:hAnsi="宋体"/>
                <w:bCs/>
                <w:color w:val="auto"/>
                <w:szCs w:val="21"/>
                <w:highlight w:val="none"/>
              </w:rPr>
              <w:t xml:space="preserve">                                  磋商基准价</w:t>
            </w:r>
          </w:p>
          <w:p w14:paraId="1F216690">
            <w:pPr>
              <w:pStyle w:val="5"/>
              <w:spacing w:line="260" w:lineRule="exact"/>
              <w:ind w:firstLine="400" w:firstLineChars="200"/>
              <w:rPr>
                <w:rFonts w:hint="eastAsia" w:hAnsi="宋体"/>
                <w:bCs/>
                <w:color w:val="auto"/>
                <w:szCs w:val="21"/>
                <w:highlight w:val="none"/>
              </w:rPr>
            </w:pPr>
            <w:r>
              <w:rPr>
                <w:rFonts w:hint="eastAsia" w:hAnsi="宋体"/>
                <w:bCs/>
                <w:color w:val="auto"/>
                <w:szCs w:val="21"/>
                <w:highlight w:val="none"/>
              </w:rPr>
              <w:t xml:space="preserve">某有效供应商磋商报价得分  =  </w:t>
            </w:r>
            <w:r>
              <w:rPr>
                <w:rFonts w:hint="eastAsia" w:hAnsi="宋体"/>
                <w:b/>
                <w:bCs/>
                <w:color w:val="auto"/>
                <w:szCs w:val="21"/>
                <w:highlight w:val="none"/>
              </w:rPr>
              <w:t>---------------------</w:t>
            </w:r>
            <w:r>
              <w:rPr>
                <w:rFonts w:hint="eastAsia" w:hAnsi="宋体"/>
                <w:bCs/>
                <w:color w:val="auto"/>
                <w:szCs w:val="21"/>
                <w:highlight w:val="none"/>
              </w:rPr>
              <w:t xml:space="preserve">  × </w:t>
            </w:r>
            <w:r>
              <w:rPr>
                <w:rFonts w:hint="eastAsia" w:hAnsi="宋体"/>
                <w:bCs/>
                <w:color w:val="auto"/>
                <w:szCs w:val="21"/>
                <w:highlight w:val="none"/>
                <w:lang w:val="en-US" w:eastAsia="zh-CN"/>
              </w:rPr>
              <w:t>10</w:t>
            </w:r>
            <w:r>
              <w:rPr>
                <w:rFonts w:hint="eastAsia" w:hAnsi="宋体"/>
                <w:bCs/>
                <w:color w:val="auto"/>
                <w:szCs w:val="21"/>
                <w:highlight w:val="none"/>
              </w:rPr>
              <w:t>分</w:t>
            </w:r>
          </w:p>
          <w:p w14:paraId="14F2D40F">
            <w:pPr>
              <w:pStyle w:val="5"/>
              <w:spacing w:after="120" w:afterLines="50" w:line="260" w:lineRule="exact"/>
              <w:ind w:firstLine="400" w:firstLineChars="200"/>
              <w:rPr>
                <w:rFonts w:hint="eastAsia" w:hAnsi="宋体"/>
                <w:bCs/>
                <w:color w:val="auto"/>
                <w:szCs w:val="21"/>
                <w:highlight w:val="none"/>
              </w:rPr>
            </w:pPr>
            <w:r>
              <w:rPr>
                <w:rFonts w:hint="eastAsia" w:hAnsi="宋体"/>
                <w:bCs/>
                <w:color w:val="auto"/>
                <w:szCs w:val="21"/>
                <w:highlight w:val="none"/>
              </w:rPr>
              <w:t xml:space="preserve">                               某有效供应商最终报价</w:t>
            </w:r>
          </w:p>
        </w:tc>
      </w:tr>
      <w:tr w14:paraId="440B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1ECED5B1">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280" w:type="dxa"/>
            <w:vMerge w:val="restart"/>
            <w:noWrap w:val="0"/>
            <w:vAlign w:val="center"/>
          </w:tcPr>
          <w:p w14:paraId="2FE1BEEE">
            <w:pPr>
              <w:adjustRightInd w:val="0"/>
              <w:spacing w:line="400" w:lineRule="exact"/>
              <w:jc w:val="center"/>
              <w:textAlignment w:val="baseline"/>
              <w:rPr>
                <w:rFonts w:hint="eastAsia" w:ascii="宋体" w:hAnsi="宋体"/>
                <w:b/>
                <w:color w:val="auto"/>
                <w:szCs w:val="21"/>
                <w:highlight w:val="none"/>
              </w:rPr>
            </w:pPr>
            <w:bookmarkStart w:id="1" w:name="_Hlk112311298"/>
            <w:r>
              <w:rPr>
                <w:rFonts w:hint="eastAsia" w:ascii="宋体" w:hAnsi="Courier New" w:cs="宋体"/>
                <w:b/>
                <w:color w:val="auto"/>
                <w:szCs w:val="21"/>
                <w:highlight w:val="none"/>
              </w:rPr>
              <w:t>施工组织设计</w:t>
            </w:r>
            <w:bookmarkEnd w:id="1"/>
          </w:p>
        </w:tc>
        <w:tc>
          <w:tcPr>
            <w:tcW w:w="709" w:type="dxa"/>
            <w:vMerge w:val="restart"/>
            <w:noWrap w:val="0"/>
            <w:vAlign w:val="center"/>
          </w:tcPr>
          <w:p w14:paraId="775AC6A6">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lang w:val="en-US" w:eastAsia="zh-CN"/>
              </w:rPr>
              <w:t>70</w:t>
            </w:r>
            <w:r>
              <w:rPr>
                <w:rFonts w:hint="eastAsia" w:ascii="宋体" w:hAnsi="宋体"/>
                <w:b/>
                <w:color w:val="auto"/>
                <w:szCs w:val="21"/>
                <w:highlight w:val="none"/>
              </w:rPr>
              <w:t>分</w:t>
            </w:r>
          </w:p>
        </w:tc>
        <w:tc>
          <w:tcPr>
            <w:tcW w:w="1532" w:type="dxa"/>
            <w:noWrap w:val="0"/>
            <w:vAlign w:val="center"/>
          </w:tcPr>
          <w:p w14:paraId="36F88139">
            <w:pPr>
              <w:spacing w:line="400" w:lineRule="exact"/>
              <w:rPr>
                <w:rFonts w:hint="eastAsia" w:ascii="宋体" w:hAnsi="Courier New"/>
                <w:b/>
                <w:color w:val="auto"/>
                <w:kern w:val="0"/>
                <w:szCs w:val="21"/>
                <w:highlight w:val="none"/>
              </w:rPr>
            </w:pPr>
            <w:r>
              <w:rPr>
                <w:rFonts w:hint="eastAsia" w:ascii="宋体" w:hAnsi="Courier New" w:cs="宋体"/>
                <w:b/>
                <w:color w:val="auto"/>
                <w:szCs w:val="21"/>
                <w:highlight w:val="none"/>
              </w:rPr>
              <w:t xml:space="preserve">（1）主要施工方法（满分 </w:t>
            </w:r>
            <w:r>
              <w:rPr>
                <w:rFonts w:hint="eastAsia" w:ascii="宋体" w:hAnsi="Courier New" w:cs="宋体"/>
                <w:b/>
                <w:color w:val="auto"/>
                <w:szCs w:val="21"/>
                <w:highlight w:val="none"/>
                <w:lang w:val="en-US" w:eastAsia="zh-CN"/>
              </w:rPr>
              <w:t>16</w:t>
            </w:r>
            <w:r>
              <w:rPr>
                <w:rFonts w:hint="eastAsia" w:ascii="宋体" w:hAnsi="Courier New" w:cs="宋体"/>
                <w:b/>
                <w:color w:val="auto"/>
                <w:szCs w:val="21"/>
                <w:highlight w:val="none"/>
              </w:rPr>
              <w:t>分）</w:t>
            </w:r>
          </w:p>
        </w:tc>
        <w:tc>
          <w:tcPr>
            <w:tcW w:w="5377" w:type="dxa"/>
            <w:noWrap w:val="0"/>
            <w:vAlign w:val="center"/>
          </w:tcPr>
          <w:p w14:paraId="56A20CCF">
            <w:pPr>
              <w:spacing w:line="400" w:lineRule="exact"/>
              <w:jc w:val="left"/>
              <w:rPr>
                <w:rFonts w:hint="eastAsia"/>
                <w:color w:val="auto"/>
                <w:szCs w:val="21"/>
                <w:highlight w:val="none"/>
              </w:rPr>
            </w:pPr>
            <w:r>
              <w:rPr>
                <w:rFonts w:hint="eastAsia"/>
                <w:color w:val="auto"/>
                <w:szCs w:val="21"/>
                <w:highlight w:val="none"/>
              </w:rPr>
              <w:t>优（1</w:t>
            </w:r>
            <w:r>
              <w:rPr>
                <w:rFonts w:hint="eastAsia"/>
                <w:color w:val="auto"/>
                <w:szCs w:val="21"/>
                <w:highlight w:val="none"/>
                <w:lang w:val="en-US" w:eastAsia="zh-CN"/>
              </w:rPr>
              <w:t>6</w:t>
            </w:r>
            <w:r>
              <w:rPr>
                <w:rFonts w:hint="eastAsia"/>
                <w:color w:val="auto"/>
                <w:szCs w:val="21"/>
                <w:highlight w:val="none"/>
              </w:rPr>
              <w:t xml:space="preserve"> 分）：各主要分部施工方法针对性强，施工技术方案详尽周密，工艺先进、方法科学、可行，能很好的指导具体施工并确保安全。</w:t>
            </w:r>
          </w:p>
          <w:p w14:paraId="36723F31">
            <w:pPr>
              <w:spacing w:line="400" w:lineRule="exact"/>
              <w:jc w:val="left"/>
              <w:rPr>
                <w:rFonts w:hint="eastAsia"/>
                <w:color w:val="auto"/>
                <w:szCs w:val="21"/>
                <w:highlight w:val="none"/>
              </w:rPr>
            </w:pPr>
            <w:r>
              <w:rPr>
                <w:rFonts w:hint="eastAsia"/>
                <w:color w:val="auto"/>
                <w:szCs w:val="21"/>
                <w:highlight w:val="none"/>
              </w:rPr>
              <w:t>良（</w:t>
            </w:r>
            <w:r>
              <w:rPr>
                <w:rFonts w:hint="eastAsia"/>
                <w:color w:val="auto"/>
                <w:szCs w:val="21"/>
                <w:highlight w:val="none"/>
                <w:lang w:val="en-US" w:eastAsia="zh-CN"/>
              </w:rPr>
              <w:t>12</w:t>
            </w:r>
            <w:r>
              <w:rPr>
                <w:rFonts w:hint="eastAsia"/>
                <w:color w:val="auto"/>
                <w:szCs w:val="21"/>
                <w:highlight w:val="none"/>
              </w:rPr>
              <w:t>分）：各主要分部施工方法符合项目实际，施工技术方案齐全，工艺成熟、方法合理、可行，能指导具体施工并确保安全。</w:t>
            </w:r>
          </w:p>
          <w:p w14:paraId="3C2D8613">
            <w:pPr>
              <w:spacing w:line="400" w:lineRule="exact"/>
              <w:jc w:val="left"/>
              <w:rPr>
                <w:rFonts w:hint="eastAsia"/>
                <w:color w:val="auto"/>
                <w:szCs w:val="21"/>
                <w:highlight w:val="none"/>
              </w:rPr>
            </w:pPr>
            <w:r>
              <w:rPr>
                <w:rFonts w:hint="eastAsia"/>
                <w:color w:val="auto"/>
                <w:szCs w:val="21"/>
                <w:highlight w:val="none"/>
              </w:rPr>
              <w:t>中（</w:t>
            </w:r>
            <w:r>
              <w:rPr>
                <w:rFonts w:hint="eastAsia"/>
                <w:color w:val="auto"/>
                <w:szCs w:val="21"/>
                <w:highlight w:val="none"/>
                <w:lang w:val="en-US" w:eastAsia="zh-CN"/>
              </w:rPr>
              <w:t>8</w:t>
            </w:r>
            <w:r>
              <w:rPr>
                <w:rFonts w:hint="eastAsia"/>
                <w:color w:val="auto"/>
                <w:szCs w:val="21"/>
                <w:highlight w:val="none"/>
              </w:rPr>
              <w:t>分）：各主要分部施工方法基本符合项目实际，施工技术方案基本齐全，方法基本合理、基本可行，基本能指导具体施工并确保安全。</w:t>
            </w:r>
          </w:p>
          <w:p w14:paraId="13DD29CD">
            <w:pPr>
              <w:spacing w:line="400" w:lineRule="exact"/>
              <w:jc w:val="left"/>
              <w:rPr>
                <w:rFonts w:hint="eastAsia"/>
                <w:color w:val="auto"/>
                <w:szCs w:val="21"/>
                <w:highlight w:val="none"/>
              </w:rPr>
            </w:pPr>
            <w:r>
              <w:rPr>
                <w:rFonts w:hint="eastAsia"/>
                <w:color w:val="auto"/>
                <w:szCs w:val="21"/>
                <w:highlight w:val="none"/>
              </w:rPr>
              <w:t>差（</w:t>
            </w:r>
            <w:r>
              <w:rPr>
                <w:rFonts w:hint="eastAsia"/>
                <w:color w:val="auto"/>
                <w:szCs w:val="21"/>
                <w:highlight w:val="none"/>
                <w:lang w:val="en-US" w:eastAsia="zh-CN"/>
              </w:rPr>
              <w:t>4</w:t>
            </w:r>
            <w:r>
              <w:rPr>
                <w:rFonts w:hint="eastAsia"/>
                <w:color w:val="auto"/>
                <w:szCs w:val="21"/>
                <w:highlight w:val="none"/>
              </w:rPr>
              <w:t xml:space="preserve"> 分）：各主要分部施工方法针对性差，施工技术方案差，工艺落后、方法不合理，不能指导具体施工和确保安全。</w:t>
            </w:r>
          </w:p>
        </w:tc>
      </w:tr>
      <w:tr w14:paraId="1DD5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4B4431B7">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3621D73E">
            <w:pPr>
              <w:adjustRightInd w:val="0"/>
              <w:spacing w:line="400" w:lineRule="exact"/>
              <w:jc w:val="center"/>
              <w:textAlignment w:val="baseline"/>
              <w:rPr>
                <w:rFonts w:hint="eastAsia" w:ascii="宋体" w:hAnsi="宋体"/>
                <w:b/>
                <w:color w:val="auto"/>
                <w:szCs w:val="21"/>
                <w:highlight w:val="none"/>
              </w:rPr>
            </w:pPr>
          </w:p>
        </w:tc>
        <w:tc>
          <w:tcPr>
            <w:tcW w:w="709" w:type="dxa"/>
            <w:vMerge w:val="continue"/>
            <w:noWrap w:val="0"/>
            <w:vAlign w:val="center"/>
          </w:tcPr>
          <w:p w14:paraId="2F92EDEB">
            <w:pPr>
              <w:adjustRightInd w:val="0"/>
              <w:spacing w:line="400" w:lineRule="exact"/>
              <w:jc w:val="center"/>
              <w:textAlignment w:val="baseline"/>
              <w:rPr>
                <w:rFonts w:hint="eastAsia" w:ascii="宋体" w:hAnsi="宋体"/>
                <w:b/>
                <w:color w:val="auto"/>
                <w:szCs w:val="21"/>
                <w:highlight w:val="none"/>
              </w:rPr>
            </w:pPr>
          </w:p>
        </w:tc>
        <w:tc>
          <w:tcPr>
            <w:tcW w:w="1532" w:type="dxa"/>
            <w:noWrap w:val="0"/>
            <w:vAlign w:val="center"/>
          </w:tcPr>
          <w:p w14:paraId="49596742">
            <w:pPr>
              <w:spacing w:line="400" w:lineRule="exact"/>
              <w:rPr>
                <w:rFonts w:hint="eastAsia" w:ascii="宋体" w:hAnsi="Courier New"/>
                <w:b/>
                <w:color w:val="auto"/>
                <w:kern w:val="0"/>
                <w:szCs w:val="21"/>
                <w:highlight w:val="none"/>
              </w:rPr>
            </w:pPr>
            <w:r>
              <w:rPr>
                <w:rFonts w:hint="eastAsia" w:ascii="宋体" w:hAnsi="Courier New" w:cs="宋体"/>
                <w:b/>
                <w:color w:val="auto"/>
                <w:szCs w:val="21"/>
                <w:highlight w:val="none"/>
              </w:rPr>
              <w:t>（2）拟投入的主要物资计划（满分</w:t>
            </w:r>
            <w:r>
              <w:rPr>
                <w:rFonts w:hint="eastAsia" w:ascii="宋体" w:hAnsi="Courier New" w:cs="宋体"/>
                <w:b/>
                <w:color w:val="auto"/>
                <w:szCs w:val="21"/>
                <w:highlight w:val="none"/>
                <w:lang w:val="en-US" w:eastAsia="zh-CN"/>
              </w:rPr>
              <w:t>6</w:t>
            </w:r>
            <w:r>
              <w:rPr>
                <w:rFonts w:hint="eastAsia" w:ascii="宋体" w:hAnsi="Courier New" w:cs="宋体"/>
                <w:b/>
                <w:color w:val="auto"/>
                <w:szCs w:val="21"/>
                <w:highlight w:val="none"/>
              </w:rPr>
              <w:t>分）</w:t>
            </w:r>
          </w:p>
        </w:tc>
        <w:tc>
          <w:tcPr>
            <w:tcW w:w="5377" w:type="dxa"/>
            <w:noWrap w:val="0"/>
            <w:vAlign w:val="center"/>
          </w:tcPr>
          <w:p w14:paraId="13742B5E">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优（</w:t>
            </w:r>
            <w:r>
              <w:rPr>
                <w:rFonts w:ascii="宋体" w:hAnsi="宋体" w:cs="宋体"/>
                <w:bCs/>
                <w:color w:val="auto"/>
                <w:kern w:val="0"/>
                <w:szCs w:val="21"/>
                <w:highlight w:val="none"/>
              </w:rPr>
              <w:t>6</w:t>
            </w:r>
            <w:r>
              <w:rPr>
                <w:rFonts w:hint="eastAsia" w:ascii="宋体" w:hAnsi="宋体" w:cs="宋体"/>
                <w:bCs/>
                <w:color w:val="auto"/>
                <w:kern w:val="0"/>
                <w:szCs w:val="21"/>
                <w:highlight w:val="none"/>
              </w:rPr>
              <w:t>分</w:t>
            </w:r>
            <w:r>
              <w:rPr>
                <w:rFonts w:hint="eastAsia" w:ascii="宋体" w:hAnsi="宋体" w:cs="宋体"/>
                <w:color w:val="auto"/>
                <w:kern w:val="0"/>
                <w:szCs w:val="21"/>
                <w:highlight w:val="none"/>
              </w:rPr>
              <w:t>）：投入的施工材料有详细的组织计划且计划周密，投入计划与进度计划呼应，较好满足施工需要，调配投入计划合理、准确。</w:t>
            </w:r>
          </w:p>
          <w:p w14:paraId="1A8A4AF3">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良（</w:t>
            </w:r>
            <w:r>
              <w:rPr>
                <w:rFonts w:ascii="宋体" w:hAnsi="宋体" w:cs="宋体"/>
                <w:bCs/>
                <w:color w:val="auto"/>
                <w:kern w:val="0"/>
                <w:szCs w:val="21"/>
                <w:highlight w:val="none"/>
              </w:rPr>
              <w:t>4</w:t>
            </w:r>
            <w:r>
              <w:rPr>
                <w:rFonts w:hint="eastAsia" w:ascii="宋体" w:hAnsi="宋体" w:cs="宋体"/>
                <w:bCs/>
                <w:color w:val="auto"/>
                <w:kern w:val="0"/>
                <w:szCs w:val="21"/>
                <w:highlight w:val="none"/>
              </w:rPr>
              <w:t>分</w:t>
            </w:r>
            <w:r>
              <w:rPr>
                <w:rFonts w:hint="eastAsia" w:ascii="宋体" w:hAnsi="宋体" w:cs="宋体"/>
                <w:color w:val="auto"/>
                <w:kern w:val="0"/>
                <w:szCs w:val="21"/>
                <w:highlight w:val="none"/>
              </w:rPr>
              <w:t>）：投入的施工材料有详细的组织计划，投入计划与进度计划呼应，基本满足施工需要，调配投入计划基本合理、准确。</w:t>
            </w:r>
          </w:p>
          <w:p w14:paraId="38D5C025">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w:t>
            </w:r>
            <w:r>
              <w:rPr>
                <w:rFonts w:ascii="宋体" w:hAnsi="宋体" w:cs="宋体"/>
                <w:bCs/>
                <w:color w:val="auto"/>
                <w:kern w:val="0"/>
                <w:szCs w:val="21"/>
                <w:highlight w:val="none"/>
              </w:rPr>
              <w:t>2</w:t>
            </w:r>
            <w:r>
              <w:rPr>
                <w:rFonts w:hint="eastAsia" w:ascii="宋体" w:hAnsi="宋体" w:cs="宋体"/>
                <w:bCs/>
                <w:color w:val="auto"/>
                <w:kern w:val="0"/>
                <w:szCs w:val="21"/>
                <w:highlight w:val="none"/>
              </w:rPr>
              <w:t>分</w:t>
            </w:r>
            <w:r>
              <w:rPr>
                <w:rFonts w:hint="eastAsia" w:ascii="宋体" w:hAnsi="宋体" w:cs="宋体"/>
                <w:color w:val="auto"/>
                <w:kern w:val="0"/>
                <w:szCs w:val="21"/>
                <w:highlight w:val="none"/>
              </w:rPr>
              <w:t>）：投入的施工材料有</w:t>
            </w:r>
            <w:r>
              <w:rPr>
                <w:rFonts w:hint="eastAsia" w:ascii="宋体" w:hAnsi="宋体" w:cs="宋体"/>
                <w:bCs/>
                <w:color w:val="auto"/>
                <w:kern w:val="0"/>
                <w:szCs w:val="21"/>
                <w:highlight w:val="none"/>
              </w:rPr>
              <w:t>较详细</w:t>
            </w:r>
            <w:r>
              <w:rPr>
                <w:rFonts w:hint="eastAsia" w:ascii="宋体" w:hAnsi="宋体" w:cs="宋体"/>
                <w:color w:val="auto"/>
                <w:kern w:val="0"/>
                <w:szCs w:val="21"/>
                <w:highlight w:val="none"/>
              </w:rPr>
              <w:t>的组织计划，投入计划与进度计划</w:t>
            </w:r>
            <w:r>
              <w:rPr>
                <w:rFonts w:hint="eastAsia" w:ascii="宋体" w:hAnsi="宋体" w:cs="宋体"/>
                <w:bCs/>
                <w:color w:val="auto"/>
                <w:kern w:val="0"/>
                <w:szCs w:val="21"/>
                <w:highlight w:val="none"/>
              </w:rPr>
              <w:t>基本呼应</w:t>
            </w:r>
            <w:r>
              <w:rPr>
                <w:rFonts w:hint="eastAsia" w:ascii="宋体" w:hAnsi="宋体" w:cs="宋体"/>
                <w:color w:val="auto"/>
                <w:kern w:val="0"/>
                <w:szCs w:val="21"/>
                <w:highlight w:val="none"/>
              </w:rPr>
              <w:t>，基本满足施工需要，调配投入计划基本合理。</w:t>
            </w:r>
          </w:p>
          <w:p w14:paraId="7D294BE0">
            <w:pPr>
              <w:spacing w:line="400" w:lineRule="exact"/>
              <w:rPr>
                <w:rFonts w:hint="eastAsia" w:ascii="宋体" w:hAnsi="Courier New"/>
                <w:color w:val="auto"/>
                <w:kern w:val="0"/>
                <w:szCs w:val="21"/>
                <w:highlight w:val="none"/>
              </w:rPr>
            </w:pPr>
            <w:r>
              <w:rPr>
                <w:rFonts w:hint="eastAsia" w:ascii="宋体" w:hAnsi="宋体" w:cs="宋体"/>
                <w:color w:val="auto"/>
                <w:kern w:val="0"/>
                <w:szCs w:val="21"/>
                <w:highlight w:val="none"/>
              </w:rPr>
              <w:t>差（</w:t>
            </w:r>
            <w:r>
              <w:rPr>
                <w:rFonts w:hint="eastAsia" w:ascii="宋体" w:hAnsi="宋体" w:cs="宋体"/>
                <w:bCs/>
                <w:color w:val="auto"/>
                <w:kern w:val="0"/>
                <w:szCs w:val="21"/>
                <w:highlight w:val="none"/>
              </w:rPr>
              <w:t>1分</w:t>
            </w:r>
            <w:r>
              <w:rPr>
                <w:rFonts w:hint="eastAsia" w:ascii="宋体" w:hAnsi="宋体" w:cs="宋体"/>
                <w:color w:val="auto"/>
                <w:kern w:val="0"/>
                <w:szCs w:val="21"/>
                <w:highlight w:val="none"/>
              </w:rPr>
              <w:t>）：投入的施工材料的组织计划差，投入计划与进度计划不呼应，不能满足施工需要</w:t>
            </w:r>
            <w:r>
              <w:rPr>
                <w:rFonts w:hint="eastAsia" w:ascii="宋体" w:hAnsi="Courier New"/>
                <w:color w:val="auto"/>
                <w:kern w:val="0"/>
                <w:szCs w:val="21"/>
                <w:highlight w:val="none"/>
              </w:rPr>
              <w:t>。</w:t>
            </w:r>
          </w:p>
        </w:tc>
      </w:tr>
      <w:tr w14:paraId="3819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094C1438">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5BD5B24A">
            <w:pPr>
              <w:adjustRightInd w:val="0"/>
              <w:spacing w:line="400" w:lineRule="exact"/>
              <w:jc w:val="center"/>
              <w:textAlignment w:val="baseline"/>
              <w:rPr>
                <w:rFonts w:hint="eastAsia" w:ascii="宋体" w:hAnsi="宋体"/>
                <w:b/>
                <w:color w:val="auto"/>
                <w:szCs w:val="21"/>
                <w:highlight w:val="none"/>
              </w:rPr>
            </w:pPr>
          </w:p>
        </w:tc>
        <w:tc>
          <w:tcPr>
            <w:tcW w:w="709" w:type="dxa"/>
            <w:vMerge w:val="continue"/>
            <w:noWrap w:val="0"/>
            <w:vAlign w:val="center"/>
          </w:tcPr>
          <w:p w14:paraId="77D3E232">
            <w:pPr>
              <w:adjustRightInd w:val="0"/>
              <w:spacing w:line="400" w:lineRule="exact"/>
              <w:jc w:val="center"/>
              <w:textAlignment w:val="baseline"/>
              <w:rPr>
                <w:rFonts w:hint="eastAsia" w:ascii="宋体" w:hAnsi="宋体"/>
                <w:b/>
                <w:color w:val="auto"/>
                <w:szCs w:val="21"/>
                <w:highlight w:val="none"/>
              </w:rPr>
            </w:pPr>
          </w:p>
        </w:tc>
        <w:tc>
          <w:tcPr>
            <w:tcW w:w="1532" w:type="dxa"/>
            <w:noWrap w:val="0"/>
            <w:vAlign w:val="center"/>
          </w:tcPr>
          <w:p w14:paraId="23AE1C50">
            <w:pPr>
              <w:spacing w:line="400" w:lineRule="exact"/>
              <w:rPr>
                <w:rFonts w:hint="eastAsia" w:ascii="宋体" w:hAnsi="Courier New"/>
                <w:b/>
                <w:color w:val="auto"/>
                <w:kern w:val="0"/>
                <w:szCs w:val="21"/>
                <w:highlight w:val="none"/>
              </w:rPr>
            </w:pPr>
            <w:r>
              <w:rPr>
                <w:rFonts w:hint="eastAsia" w:ascii="宋体" w:hAnsi="Courier New" w:cs="宋体"/>
                <w:b/>
                <w:color w:val="auto"/>
                <w:szCs w:val="21"/>
                <w:highlight w:val="none"/>
              </w:rPr>
              <w:t>（3）劳动力安排计划（</w:t>
            </w:r>
            <w:r>
              <w:rPr>
                <w:rFonts w:hint="eastAsia" w:ascii="宋体" w:hAnsi="宋体" w:cs="等线"/>
                <w:b/>
                <w:color w:val="auto"/>
                <w:szCs w:val="21"/>
                <w:highlight w:val="none"/>
              </w:rPr>
              <w:t>满分</w:t>
            </w:r>
            <w:r>
              <w:rPr>
                <w:rFonts w:hint="eastAsia" w:ascii="宋体" w:hAnsi="宋体" w:cs="等线"/>
                <w:b/>
                <w:color w:val="auto"/>
                <w:szCs w:val="21"/>
                <w:highlight w:val="none"/>
                <w:lang w:val="en-US" w:eastAsia="zh-CN"/>
              </w:rPr>
              <w:t>6</w:t>
            </w:r>
            <w:r>
              <w:rPr>
                <w:rFonts w:hint="eastAsia" w:ascii="宋体" w:hAnsi="宋体" w:cs="等线"/>
                <w:b/>
                <w:color w:val="auto"/>
                <w:szCs w:val="21"/>
                <w:highlight w:val="none"/>
              </w:rPr>
              <w:t>分</w:t>
            </w:r>
            <w:r>
              <w:rPr>
                <w:rFonts w:hint="eastAsia" w:ascii="宋体" w:hAnsi="宋体" w:cs="宋体"/>
                <w:b/>
                <w:color w:val="auto"/>
                <w:szCs w:val="21"/>
                <w:highlight w:val="none"/>
              </w:rPr>
              <w:t>）</w:t>
            </w:r>
          </w:p>
        </w:tc>
        <w:tc>
          <w:tcPr>
            <w:tcW w:w="5377" w:type="dxa"/>
            <w:noWrap w:val="0"/>
            <w:vAlign w:val="center"/>
          </w:tcPr>
          <w:p w14:paraId="0E28EDEC">
            <w:pPr>
              <w:spacing w:line="288" w:lineRule="auto"/>
              <w:rPr>
                <w:rFonts w:ascii="宋体" w:hAnsi="宋体" w:cs="宋体"/>
                <w:color w:val="auto"/>
                <w:kern w:val="0"/>
                <w:szCs w:val="21"/>
                <w:highlight w:val="none"/>
              </w:rPr>
            </w:pPr>
            <w:r>
              <w:rPr>
                <w:rFonts w:hint="eastAsia" w:ascii="宋体" w:hAnsi="宋体" w:cs="宋体"/>
                <w:color w:val="auto"/>
                <w:kern w:val="0"/>
                <w:szCs w:val="21"/>
                <w:highlight w:val="none"/>
              </w:rPr>
              <w:t>优（</w:t>
            </w:r>
            <w:r>
              <w:rPr>
                <w:rFonts w:ascii="宋体" w:hAnsi="宋体" w:cs="宋体"/>
                <w:bCs/>
                <w:color w:val="auto"/>
                <w:kern w:val="0"/>
                <w:szCs w:val="21"/>
                <w:highlight w:val="none"/>
              </w:rPr>
              <w:t>6</w:t>
            </w:r>
            <w:r>
              <w:rPr>
                <w:rFonts w:hint="eastAsia" w:ascii="宋体" w:hAnsi="宋体" w:cs="宋体"/>
                <w:bCs/>
                <w:color w:val="auto"/>
                <w:kern w:val="0"/>
                <w:szCs w:val="21"/>
                <w:highlight w:val="none"/>
              </w:rPr>
              <w:t>分</w:t>
            </w:r>
            <w:r>
              <w:rPr>
                <w:rFonts w:hint="eastAsia" w:ascii="宋体" w:hAnsi="宋体" w:cs="宋体"/>
                <w:color w:val="auto"/>
                <w:kern w:val="0"/>
                <w:szCs w:val="21"/>
                <w:highlight w:val="none"/>
              </w:rPr>
              <w:t>）：各主要施工工序有详细周密的劳动力安排计划，各工种劳动力安排计划齐全，劳动力投入与进度计划呼应合理，满足施工需要。</w:t>
            </w:r>
          </w:p>
          <w:p w14:paraId="178C1EEF">
            <w:pPr>
              <w:spacing w:line="288" w:lineRule="auto"/>
              <w:rPr>
                <w:rFonts w:ascii="宋体" w:hAnsi="宋体" w:cs="宋体"/>
                <w:color w:val="auto"/>
                <w:kern w:val="0"/>
                <w:szCs w:val="21"/>
                <w:highlight w:val="none"/>
              </w:rPr>
            </w:pPr>
            <w:r>
              <w:rPr>
                <w:rFonts w:hint="eastAsia" w:ascii="宋体" w:hAnsi="宋体" w:cs="宋体"/>
                <w:color w:val="auto"/>
                <w:kern w:val="0"/>
                <w:szCs w:val="21"/>
                <w:highlight w:val="none"/>
              </w:rPr>
              <w:t>良（</w:t>
            </w:r>
            <w:r>
              <w:rPr>
                <w:rFonts w:ascii="宋体" w:hAnsi="宋体" w:cs="宋体"/>
                <w:bCs/>
                <w:color w:val="auto"/>
                <w:kern w:val="0"/>
                <w:szCs w:val="21"/>
                <w:highlight w:val="none"/>
              </w:rPr>
              <w:t>4</w:t>
            </w:r>
            <w:r>
              <w:rPr>
                <w:rFonts w:hint="eastAsia" w:ascii="宋体" w:hAnsi="宋体" w:cs="宋体"/>
                <w:bCs/>
                <w:color w:val="auto"/>
                <w:kern w:val="0"/>
                <w:szCs w:val="21"/>
                <w:highlight w:val="none"/>
              </w:rPr>
              <w:t xml:space="preserve"> 分</w:t>
            </w:r>
            <w:r>
              <w:rPr>
                <w:rFonts w:hint="eastAsia" w:ascii="宋体" w:hAnsi="宋体" w:cs="宋体"/>
                <w:color w:val="auto"/>
                <w:kern w:val="0"/>
                <w:szCs w:val="21"/>
                <w:highlight w:val="none"/>
              </w:rPr>
              <w:t>）：各主要施工工序</w:t>
            </w:r>
            <w:r>
              <w:rPr>
                <w:rFonts w:hint="eastAsia" w:ascii="宋体" w:hAnsi="宋体" w:cs="宋体"/>
                <w:bCs/>
                <w:color w:val="auto"/>
                <w:kern w:val="0"/>
                <w:szCs w:val="21"/>
                <w:highlight w:val="none"/>
              </w:rPr>
              <w:t>有较详细的</w:t>
            </w:r>
            <w:r>
              <w:rPr>
                <w:rFonts w:hint="eastAsia" w:ascii="宋体" w:hAnsi="宋体" w:cs="宋体"/>
                <w:color w:val="auto"/>
                <w:kern w:val="0"/>
                <w:szCs w:val="21"/>
                <w:highlight w:val="none"/>
              </w:rPr>
              <w:t>劳动力安排计划，有各工种劳动力安排计划，劳动力投入合理，满足施工需要。</w:t>
            </w:r>
          </w:p>
          <w:p w14:paraId="36137745">
            <w:pPr>
              <w:spacing w:line="288" w:lineRule="auto"/>
              <w:rPr>
                <w:rFonts w:ascii="宋体" w:hAnsi="宋体" w:cs="宋体"/>
                <w:color w:val="auto"/>
                <w:kern w:val="0"/>
                <w:szCs w:val="21"/>
                <w:highlight w:val="none"/>
              </w:rPr>
            </w:pPr>
            <w:r>
              <w:rPr>
                <w:rFonts w:hint="eastAsia" w:ascii="宋体" w:hAnsi="宋体" w:cs="宋体"/>
                <w:color w:val="auto"/>
                <w:kern w:val="0"/>
                <w:szCs w:val="21"/>
                <w:highlight w:val="none"/>
              </w:rPr>
              <w:t>中（</w:t>
            </w:r>
            <w:r>
              <w:rPr>
                <w:rFonts w:ascii="宋体" w:hAnsi="宋体" w:cs="宋体"/>
                <w:bCs/>
                <w:color w:val="auto"/>
                <w:kern w:val="0"/>
                <w:szCs w:val="21"/>
                <w:highlight w:val="none"/>
              </w:rPr>
              <w:t>2</w:t>
            </w:r>
            <w:r>
              <w:rPr>
                <w:rFonts w:hint="eastAsia" w:ascii="宋体" w:hAnsi="宋体" w:cs="宋体"/>
                <w:bCs/>
                <w:color w:val="auto"/>
                <w:kern w:val="0"/>
                <w:szCs w:val="21"/>
                <w:highlight w:val="none"/>
              </w:rPr>
              <w:t>分</w:t>
            </w:r>
            <w:r>
              <w:rPr>
                <w:rFonts w:hint="eastAsia" w:ascii="宋体" w:hAnsi="宋体" w:cs="宋体"/>
                <w:color w:val="auto"/>
                <w:kern w:val="0"/>
                <w:szCs w:val="21"/>
                <w:highlight w:val="none"/>
              </w:rPr>
              <w:t>）：各主要施工工序应有劳动力安排计划，有各工种劳动力安排计划，劳动力投入基本合理，基本满足施工需要。</w:t>
            </w:r>
          </w:p>
          <w:p w14:paraId="2ED68749">
            <w:pPr>
              <w:spacing w:line="400" w:lineRule="exact"/>
              <w:rPr>
                <w:rFonts w:hint="eastAsia" w:ascii="宋体" w:hAnsi="Courier New"/>
                <w:color w:val="auto"/>
                <w:kern w:val="0"/>
                <w:szCs w:val="21"/>
                <w:highlight w:val="none"/>
              </w:rPr>
            </w:pPr>
            <w:r>
              <w:rPr>
                <w:rFonts w:hint="eastAsia" w:ascii="宋体" w:hAnsi="宋体" w:cs="宋体"/>
                <w:color w:val="auto"/>
                <w:kern w:val="0"/>
                <w:szCs w:val="21"/>
                <w:highlight w:val="none"/>
              </w:rPr>
              <w:t>差（</w:t>
            </w:r>
            <w:r>
              <w:rPr>
                <w:rFonts w:hint="eastAsia" w:ascii="宋体" w:hAnsi="宋体" w:cs="宋体"/>
                <w:bCs/>
                <w:color w:val="auto"/>
                <w:kern w:val="0"/>
                <w:szCs w:val="21"/>
                <w:highlight w:val="none"/>
              </w:rPr>
              <w:t>1分</w:t>
            </w:r>
            <w:r>
              <w:rPr>
                <w:rFonts w:hint="eastAsia" w:ascii="宋体" w:hAnsi="宋体" w:cs="宋体"/>
                <w:color w:val="auto"/>
                <w:kern w:val="0"/>
                <w:szCs w:val="21"/>
                <w:highlight w:val="none"/>
              </w:rPr>
              <w:t>）：各主要施工工序劳动力安排计划不全，无各工种劳动力安排计划或计划不全，劳动力投入不合理，不能满足施工需要。</w:t>
            </w:r>
          </w:p>
        </w:tc>
      </w:tr>
      <w:tr w14:paraId="6A3D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456A29CE">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022F5D01">
            <w:pPr>
              <w:adjustRightInd w:val="0"/>
              <w:spacing w:line="400" w:lineRule="exact"/>
              <w:jc w:val="center"/>
              <w:textAlignment w:val="baseline"/>
              <w:rPr>
                <w:rFonts w:hint="eastAsia" w:ascii="宋体" w:hAnsi="宋体"/>
                <w:b/>
                <w:color w:val="auto"/>
                <w:szCs w:val="21"/>
                <w:highlight w:val="none"/>
              </w:rPr>
            </w:pPr>
          </w:p>
        </w:tc>
        <w:tc>
          <w:tcPr>
            <w:tcW w:w="709" w:type="dxa"/>
            <w:vMerge w:val="continue"/>
            <w:noWrap w:val="0"/>
            <w:vAlign w:val="center"/>
          </w:tcPr>
          <w:p w14:paraId="23CBFD5B">
            <w:pPr>
              <w:adjustRightInd w:val="0"/>
              <w:spacing w:line="400" w:lineRule="exact"/>
              <w:jc w:val="center"/>
              <w:textAlignment w:val="baseline"/>
              <w:rPr>
                <w:rFonts w:hint="eastAsia" w:ascii="宋体" w:hAnsi="宋体"/>
                <w:b/>
                <w:color w:val="auto"/>
                <w:szCs w:val="21"/>
                <w:highlight w:val="none"/>
              </w:rPr>
            </w:pPr>
          </w:p>
        </w:tc>
        <w:tc>
          <w:tcPr>
            <w:tcW w:w="1532" w:type="dxa"/>
            <w:noWrap w:val="0"/>
            <w:vAlign w:val="center"/>
          </w:tcPr>
          <w:p w14:paraId="4DC0D085">
            <w:pPr>
              <w:spacing w:line="400" w:lineRule="exact"/>
              <w:rPr>
                <w:rFonts w:hint="eastAsia" w:ascii="宋体" w:hAnsi="Courier New"/>
                <w:b/>
                <w:color w:val="auto"/>
                <w:kern w:val="0"/>
                <w:szCs w:val="21"/>
                <w:highlight w:val="none"/>
              </w:rPr>
            </w:pPr>
            <w:r>
              <w:rPr>
                <w:rFonts w:hint="eastAsia" w:ascii="宋体" w:hAnsi="Courier New" w:cs="宋体"/>
                <w:b/>
                <w:color w:val="auto"/>
                <w:szCs w:val="21"/>
                <w:highlight w:val="none"/>
              </w:rPr>
              <w:t xml:space="preserve">（4）确保工程质量的技术组织措施（满分 </w:t>
            </w:r>
            <w:r>
              <w:rPr>
                <w:rFonts w:hint="eastAsia" w:ascii="宋体" w:hAnsi="Courier New" w:cs="宋体"/>
                <w:b/>
                <w:color w:val="auto"/>
                <w:szCs w:val="21"/>
                <w:highlight w:val="none"/>
                <w:lang w:val="en-US" w:eastAsia="zh-CN"/>
              </w:rPr>
              <w:t>9</w:t>
            </w:r>
            <w:r>
              <w:rPr>
                <w:rFonts w:hint="eastAsia" w:ascii="宋体" w:hAnsi="Courier New" w:cs="宋体"/>
                <w:b/>
                <w:color w:val="auto"/>
                <w:szCs w:val="21"/>
                <w:highlight w:val="none"/>
              </w:rPr>
              <w:t xml:space="preserve"> 分）</w:t>
            </w:r>
          </w:p>
        </w:tc>
        <w:tc>
          <w:tcPr>
            <w:tcW w:w="5377" w:type="dxa"/>
            <w:noWrap w:val="0"/>
            <w:vAlign w:val="center"/>
          </w:tcPr>
          <w:p w14:paraId="153F042A">
            <w:pPr>
              <w:spacing w:line="400" w:lineRule="exact"/>
              <w:rPr>
                <w:rFonts w:hint="eastAsia" w:ascii="宋体" w:hAnsi="Courier New"/>
                <w:color w:val="auto"/>
                <w:kern w:val="0"/>
                <w:szCs w:val="21"/>
                <w:highlight w:val="none"/>
              </w:rPr>
            </w:pPr>
            <w:r>
              <w:rPr>
                <w:rFonts w:hint="eastAsia" w:ascii="宋体" w:hAnsi="Courier New"/>
                <w:color w:val="auto"/>
                <w:kern w:val="0"/>
                <w:szCs w:val="21"/>
                <w:highlight w:val="none"/>
              </w:rPr>
              <w:t>优（</w:t>
            </w:r>
            <w:r>
              <w:rPr>
                <w:rFonts w:hint="eastAsia" w:ascii="宋体" w:hAnsi="Courier New"/>
                <w:color w:val="auto"/>
                <w:kern w:val="0"/>
                <w:szCs w:val="21"/>
                <w:highlight w:val="none"/>
                <w:lang w:val="en-US" w:eastAsia="zh-CN"/>
              </w:rPr>
              <w:t>9</w:t>
            </w:r>
            <w:r>
              <w:rPr>
                <w:rFonts w:hint="eastAsia" w:ascii="宋体" w:hAnsi="Courier New"/>
                <w:color w:val="auto"/>
                <w:kern w:val="0"/>
                <w:szCs w:val="21"/>
                <w:highlight w:val="none"/>
              </w:rPr>
              <w:t xml:space="preserve"> 分）：有专门的质量技术管理班子和制度，且人员配备合理，制度健全。主要工序有质量技术保证措施和手段，且先进、可行、具体，达到招标文件的质量要求及施工验收规范要求，达到承诺的质量标准</w:t>
            </w:r>
          </w:p>
          <w:p w14:paraId="0C985CA8">
            <w:pPr>
              <w:spacing w:line="400" w:lineRule="exact"/>
              <w:rPr>
                <w:rFonts w:hint="eastAsia" w:ascii="宋体" w:hAnsi="Courier New"/>
                <w:color w:val="auto"/>
                <w:kern w:val="0"/>
                <w:szCs w:val="21"/>
                <w:highlight w:val="none"/>
              </w:rPr>
            </w:pPr>
            <w:r>
              <w:rPr>
                <w:rFonts w:hint="eastAsia" w:ascii="宋体" w:hAnsi="Courier New"/>
                <w:color w:val="auto"/>
                <w:kern w:val="0"/>
                <w:szCs w:val="21"/>
                <w:highlight w:val="none"/>
              </w:rPr>
              <w:t>良（6 分）：有专门的质量技术管理班子和制度，且人员配备合理，制度健全。主要工序有质量技术保证措施和手段，自控体系完整，能有效保证</w:t>
            </w:r>
          </w:p>
          <w:p w14:paraId="7E72CB3C">
            <w:pPr>
              <w:spacing w:line="400" w:lineRule="exact"/>
              <w:rPr>
                <w:rFonts w:hint="eastAsia" w:ascii="宋体" w:hAnsi="Courier New"/>
                <w:color w:val="auto"/>
                <w:kern w:val="0"/>
                <w:szCs w:val="21"/>
                <w:highlight w:val="none"/>
              </w:rPr>
            </w:pPr>
            <w:r>
              <w:rPr>
                <w:rFonts w:hint="eastAsia" w:ascii="宋体" w:hAnsi="Courier New"/>
                <w:color w:val="auto"/>
                <w:kern w:val="0"/>
                <w:szCs w:val="21"/>
                <w:highlight w:val="none"/>
              </w:rPr>
              <w:t>技术质量，达到承诺的质量标准。</w:t>
            </w:r>
          </w:p>
          <w:p w14:paraId="0911FBA2">
            <w:pPr>
              <w:spacing w:line="400" w:lineRule="exact"/>
              <w:rPr>
                <w:rFonts w:hint="eastAsia" w:ascii="宋体" w:hAnsi="Courier New"/>
                <w:color w:val="auto"/>
                <w:kern w:val="0"/>
                <w:szCs w:val="21"/>
                <w:highlight w:val="none"/>
              </w:rPr>
            </w:pPr>
            <w:r>
              <w:rPr>
                <w:rFonts w:hint="eastAsia" w:ascii="宋体" w:hAnsi="Courier New"/>
                <w:color w:val="auto"/>
                <w:kern w:val="0"/>
                <w:szCs w:val="21"/>
                <w:highlight w:val="none"/>
              </w:rPr>
              <w:t>中（4 分）：质量技术管理班子人员配备基本合理，制度基本健全。主要工序有质量技术保证措施和手段，能有效保证技术质量，满足招标文件的质量要求。</w:t>
            </w:r>
          </w:p>
          <w:p w14:paraId="62850A53">
            <w:pPr>
              <w:spacing w:line="400" w:lineRule="exact"/>
              <w:rPr>
                <w:rFonts w:hint="eastAsia" w:ascii="宋体" w:hAnsi="Courier New"/>
                <w:color w:val="auto"/>
                <w:kern w:val="0"/>
                <w:szCs w:val="21"/>
                <w:highlight w:val="none"/>
              </w:rPr>
            </w:pPr>
            <w:r>
              <w:rPr>
                <w:rFonts w:hint="eastAsia" w:ascii="宋体" w:hAnsi="Courier New"/>
                <w:color w:val="auto"/>
                <w:kern w:val="0"/>
                <w:szCs w:val="21"/>
                <w:highlight w:val="none"/>
              </w:rPr>
              <w:t>差（2 分）：质量技术管理班子人员配备不合理，制度不健全。质量技术保证措施和手段不可行，没有质量违约责任承诺。</w:t>
            </w:r>
          </w:p>
        </w:tc>
      </w:tr>
      <w:tr w14:paraId="053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3A963A4C">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16B22755">
            <w:pPr>
              <w:adjustRightInd w:val="0"/>
              <w:spacing w:line="400" w:lineRule="exact"/>
              <w:jc w:val="center"/>
              <w:textAlignment w:val="baseline"/>
              <w:rPr>
                <w:rFonts w:hint="eastAsia" w:ascii="宋体" w:hAnsi="宋体"/>
                <w:b/>
                <w:color w:val="auto"/>
                <w:szCs w:val="21"/>
                <w:highlight w:val="none"/>
              </w:rPr>
            </w:pPr>
          </w:p>
        </w:tc>
        <w:tc>
          <w:tcPr>
            <w:tcW w:w="709" w:type="dxa"/>
            <w:vMerge w:val="continue"/>
            <w:noWrap w:val="0"/>
            <w:vAlign w:val="center"/>
          </w:tcPr>
          <w:p w14:paraId="33544A98">
            <w:pPr>
              <w:adjustRightInd w:val="0"/>
              <w:spacing w:line="400" w:lineRule="exact"/>
              <w:jc w:val="center"/>
              <w:textAlignment w:val="baseline"/>
              <w:rPr>
                <w:rFonts w:hint="eastAsia" w:ascii="宋体" w:hAnsi="宋体"/>
                <w:b/>
                <w:color w:val="auto"/>
                <w:szCs w:val="21"/>
                <w:highlight w:val="none"/>
              </w:rPr>
            </w:pPr>
          </w:p>
        </w:tc>
        <w:tc>
          <w:tcPr>
            <w:tcW w:w="1532" w:type="dxa"/>
            <w:noWrap w:val="0"/>
            <w:vAlign w:val="center"/>
          </w:tcPr>
          <w:p w14:paraId="1B523E78">
            <w:pPr>
              <w:spacing w:line="400" w:lineRule="exact"/>
              <w:rPr>
                <w:rFonts w:hint="eastAsia" w:ascii="宋体" w:hAnsi="Courier New"/>
                <w:b/>
                <w:color w:val="auto"/>
                <w:kern w:val="0"/>
                <w:szCs w:val="21"/>
                <w:highlight w:val="none"/>
              </w:rPr>
            </w:pPr>
            <w:r>
              <w:rPr>
                <w:rFonts w:hint="eastAsia" w:ascii="宋体" w:hAnsi="Courier New" w:cs="宋体"/>
                <w:b/>
                <w:color w:val="auto"/>
                <w:szCs w:val="21"/>
                <w:highlight w:val="none"/>
              </w:rPr>
              <w:t xml:space="preserve">（5）确保安全生产的技术组织措施（满分 </w:t>
            </w:r>
            <w:r>
              <w:rPr>
                <w:rFonts w:hint="eastAsia" w:ascii="宋体" w:hAnsi="Courier New" w:cs="宋体"/>
                <w:b/>
                <w:color w:val="auto"/>
                <w:szCs w:val="21"/>
                <w:highlight w:val="none"/>
                <w:lang w:val="en-US" w:eastAsia="zh-CN"/>
              </w:rPr>
              <w:t>9</w:t>
            </w:r>
            <w:r>
              <w:rPr>
                <w:rFonts w:hint="eastAsia" w:ascii="宋体" w:hAnsi="Courier New" w:cs="宋体"/>
                <w:b/>
                <w:color w:val="auto"/>
                <w:szCs w:val="21"/>
                <w:highlight w:val="none"/>
              </w:rPr>
              <w:t>分）</w:t>
            </w:r>
          </w:p>
        </w:tc>
        <w:tc>
          <w:tcPr>
            <w:tcW w:w="5377" w:type="dxa"/>
            <w:noWrap w:val="0"/>
            <w:vAlign w:val="center"/>
          </w:tcPr>
          <w:p w14:paraId="7D85FDD4">
            <w:pPr>
              <w:spacing w:line="400" w:lineRule="exact"/>
              <w:rPr>
                <w:rFonts w:hint="eastAsia" w:ascii="宋体" w:hAnsi="Courier New"/>
                <w:color w:val="auto"/>
                <w:kern w:val="0"/>
                <w:szCs w:val="21"/>
                <w:highlight w:val="none"/>
              </w:rPr>
            </w:pPr>
            <w:r>
              <w:rPr>
                <w:rFonts w:hint="eastAsia" w:ascii="宋体" w:hAnsi="Courier New"/>
                <w:color w:val="auto"/>
                <w:kern w:val="0"/>
                <w:szCs w:val="21"/>
                <w:highlight w:val="none"/>
              </w:rPr>
              <w:t>优（</w:t>
            </w:r>
            <w:r>
              <w:rPr>
                <w:rFonts w:hint="eastAsia" w:ascii="宋体" w:hAnsi="Courier New"/>
                <w:color w:val="auto"/>
                <w:kern w:val="0"/>
                <w:szCs w:val="21"/>
                <w:highlight w:val="none"/>
                <w:lang w:val="en-US" w:eastAsia="zh-CN"/>
              </w:rPr>
              <w:t>9</w:t>
            </w:r>
            <w:r>
              <w:rPr>
                <w:rFonts w:hint="eastAsia" w:ascii="宋体" w:hAnsi="Courier New"/>
                <w:color w:val="auto"/>
                <w:kern w:val="0"/>
                <w:szCs w:val="21"/>
                <w:highlight w:val="none"/>
              </w:rPr>
              <w:t>分）：安全人员配备合理；有健全的安全管理制度，各道工序安全技术措施针对性强，符合实际且满足国家有关安全技术标准要求。现场防火、应急救援、社会治安安全措施得力。</w:t>
            </w:r>
          </w:p>
          <w:p w14:paraId="475D7B2B">
            <w:pPr>
              <w:spacing w:line="400" w:lineRule="exact"/>
              <w:rPr>
                <w:rFonts w:hint="eastAsia" w:ascii="宋体" w:hAnsi="Courier New"/>
                <w:color w:val="auto"/>
                <w:kern w:val="0"/>
                <w:szCs w:val="21"/>
                <w:highlight w:val="none"/>
              </w:rPr>
            </w:pPr>
            <w:r>
              <w:rPr>
                <w:rFonts w:hint="eastAsia" w:ascii="宋体" w:hAnsi="Courier New"/>
                <w:color w:val="auto"/>
                <w:kern w:val="0"/>
                <w:szCs w:val="21"/>
                <w:highlight w:val="none"/>
              </w:rPr>
              <w:t>良（</w:t>
            </w:r>
            <w:r>
              <w:rPr>
                <w:rFonts w:ascii="宋体" w:hAnsi="Courier New"/>
                <w:color w:val="auto"/>
                <w:kern w:val="0"/>
                <w:szCs w:val="21"/>
                <w:highlight w:val="none"/>
              </w:rPr>
              <w:t>6</w:t>
            </w:r>
            <w:r>
              <w:rPr>
                <w:rFonts w:hint="eastAsia" w:ascii="宋体" w:hAnsi="Courier New"/>
                <w:color w:val="auto"/>
                <w:kern w:val="0"/>
                <w:szCs w:val="21"/>
                <w:highlight w:val="none"/>
              </w:rPr>
              <w:t xml:space="preserve"> 分）：安全人员配备合理；有健全的安全管理制度，各道工序安全技术措施符合实际且满足有关安全技术标准要求。现场防火、应急救援、社会治安安全措施合理。</w:t>
            </w:r>
          </w:p>
          <w:p w14:paraId="023F7673">
            <w:pPr>
              <w:spacing w:line="400" w:lineRule="exact"/>
              <w:rPr>
                <w:rFonts w:hint="eastAsia" w:ascii="宋体" w:hAnsi="Courier New"/>
                <w:color w:val="auto"/>
                <w:kern w:val="0"/>
                <w:szCs w:val="21"/>
                <w:highlight w:val="none"/>
              </w:rPr>
            </w:pPr>
            <w:r>
              <w:rPr>
                <w:rFonts w:hint="eastAsia" w:ascii="宋体" w:hAnsi="Courier New"/>
                <w:color w:val="auto"/>
                <w:kern w:val="0"/>
                <w:szCs w:val="21"/>
                <w:highlight w:val="none"/>
              </w:rPr>
              <w:t>中（</w:t>
            </w:r>
            <w:r>
              <w:rPr>
                <w:rFonts w:ascii="宋体" w:hAnsi="Courier New"/>
                <w:color w:val="auto"/>
                <w:kern w:val="0"/>
                <w:szCs w:val="21"/>
                <w:highlight w:val="none"/>
              </w:rPr>
              <w:t>4</w:t>
            </w:r>
            <w:r>
              <w:rPr>
                <w:rFonts w:hint="eastAsia" w:ascii="宋体" w:hAnsi="Courier New"/>
                <w:color w:val="auto"/>
                <w:kern w:val="0"/>
                <w:szCs w:val="21"/>
                <w:highlight w:val="none"/>
              </w:rPr>
              <w:t>分）：安全人员配备基本合理，安全管理制度基本健全，各道工序安全技术措施基本符合实际，基本满足有关安全技术标准要求。现场防火、应急救援、社会治安安全措施基本合理。</w:t>
            </w:r>
          </w:p>
          <w:p w14:paraId="39A938A3">
            <w:pPr>
              <w:spacing w:line="400" w:lineRule="exact"/>
              <w:rPr>
                <w:rFonts w:hint="eastAsia" w:ascii="宋体" w:hAnsi="Courier New"/>
                <w:color w:val="auto"/>
                <w:kern w:val="0"/>
                <w:szCs w:val="21"/>
                <w:highlight w:val="none"/>
              </w:rPr>
            </w:pPr>
            <w:r>
              <w:rPr>
                <w:rFonts w:hint="eastAsia" w:ascii="宋体" w:hAnsi="Courier New"/>
                <w:color w:val="auto"/>
                <w:kern w:val="0"/>
                <w:szCs w:val="21"/>
                <w:highlight w:val="none"/>
              </w:rPr>
              <w:t>差（</w:t>
            </w:r>
            <w:r>
              <w:rPr>
                <w:rFonts w:ascii="宋体" w:hAnsi="Courier New"/>
                <w:color w:val="auto"/>
                <w:kern w:val="0"/>
                <w:szCs w:val="21"/>
                <w:highlight w:val="none"/>
              </w:rPr>
              <w:t>2</w:t>
            </w:r>
            <w:r>
              <w:rPr>
                <w:rFonts w:hint="eastAsia" w:ascii="宋体" w:hAnsi="Courier New"/>
                <w:color w:val="auto"/>
                <w:kern w:val="0"/>
                <w:szCs w:val="21"/>
                <w:highlight w:val="none"/>
              </w:rPr>
              <w:t>分）：安全人员配备不合理，安全管理制度不健全，各道工序安全技术措施基本符合实际，不能满足有关安全技术标准要求。现场防火、应急救援、社会治安安全措施不合理。</w:t>
            </w:r>
          </w:p>
        </w:tc>
      </w:tr>
      <w:tr w14:paraId="7FA8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744C8BB4">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0E23706A">
            <w:pPr>
              <w:adjustRightInd w:val="0"/>
              <w:spacing w:line="400" w:lineRule="exact"/>
              <w:jc w:val="center"/>
              <w:textAlignment w:val="baseline"/>
              <w:rPr>
                <w:rFonts w:hint="eastAsia" w:ascii="宋体" w:hAnsi="宋体"/>
                <w:b/>
                <w:color w:val="auto"/>
                <w:szCs w:val="21"/>
                <w:highlight w:val="none"/>
              </w:rPr>
            </w:pPr>
          </w:p>
        </w:tc>
        <w:tc>
          <w:tcPr>
            <w:tcW w:w="709" w:type="dxa"/>
            <w:vMerge w:val="continue"/>
            <w:noWrap w:val="0"/>
            <w:vAlign w:val="center"/>
          </w:tcPr>
          <w:p w14:paraId="2D986F1B">
            <w:pPr>
              <w:adjustRightInd w:val="0"/>
              <w:spacing w:line="400" w:lineRule="exact"/>
              <w:jc w:val="center"/>
              <w:textAlignment w:val="baseline"/>
              <w:rPr>
                <w:rFonts w:hint="eastAsia" w:ascii="宋体" w:hAnsi="宋体"/>
                <w:b/>
                <w:color w:val="auto"/>
                <w:szCs w:val="21"/>
                <w:highlight w:val="none"/>
              </w:rPr>
            </w:pPr>
          </w:p>
        </w:tc>
        <w:tc>
          <w:tcPr>
            <w:tcW w:w="1532" w:type="dxa"/>
            <w:noWrap w:val="0"/>
            <w:vAlign w:val="center"/>
          </w:tcPr>
          <w:p w14:paraId="606C2693">
            <w:pPr>
              <w:spacing w:line="400" w:lineRule="exact"/>
              <w:rPr>
                <w:rFonts w:hint="eastAsia" w:ascii="宋体" w:hAnsi="Courier New"/>
                <w:b/>
                <w:color w:val="auto"/>
                <w:kern w:val="0"/>
                <w:szCs w:val="21"/>
                <w:highlight w:val="none"/>
              </w:rPr>
            </w:pPr>
            <w:r>
              <w:rPr>
                <w:rFonts w:hint="eastAsia" w:ascii="宋体" w:hAnsi="Courier New" w:cs="宋体"/>
                <w:b/>
                <w:color w:val="auto"/>
                <w:szCs w:val="21"/>
                <w:highlight w:val="none"/>
              </w:rPr>
              <w:t>（6）确保工期的技术组织措施</w:t>
            </w:r>
            <w:r>
              <w:rPr>
                <w:rFonts w:hint="eastAsia" w:ascii="宋体" w:hAnsi="宋体" w:cs="宋体"/>
                <w:b/>
                <w:color w:val="auto"/>
                <w:szCs w:val="21"/>
                <w:highlight w:val="none"/>
              </w:rPr>
              <w:t>（</w:t>
            </w:r>
            <w:r>
              <w:rPr>
                <w:rFonts w:hint="eastAsia" w:ascii="宋体" w:hAnsi="宋体" w:cs="等线"/>
                <w:b/>
                <w:color w:val="auto"/>
                <w:szCs w:val="21"/>
                <w:highlight w:val="none"/>
              </w:rPr>
              <w:t>满分</w:t>
            </w:r>
            <w:r>
              <w:rPr>
                <w:rFonts w:hint="eastAsia" w:ascii="宋体" w:hAnsi="宋体" w:cs="等线"/>
                <w:b/>
                <w:color w:val="auto"/>
                <w:szCs w:val="21"/>
                <w:highlight w:val="none"/>
                <w:lang w:val="en-US" w:eastAsia="zh-CN"/>
              </w:rPr>
              <w:t>6</w:t>
            </w:r>
            <w:r>
              <w:rPr>
                <w:rFonts w:hint="eastAsia" w:ascii="宋体" w:hAnsi="宋体" w:cs="等线"/>
                <w:b/>
                <w:color w:val="auto"/>
                <w:szCs w:val="21"/>
                <w:highlight w:val="none"/>
              </w:rPr>
              <w:t>分</w:t>
            </w:r>
            <w:r>
              <w:rPr>
                <w:rFonts w:hint="eastAsia" w:ascii="宋体" w:hAnsi="宋体" w:cs="宋体"/>
                <w:b/>
                <w:color w:val="auto"/>
                <w:szCs w:val="21"/>
                <w:highlight w:val="none"/>
              </w:rPr>
              <w:t>）</w:t>
            </w:r>
          </w:p>
        </w:tc>
        <w:tc>
          <w:tcPr>
            <w:tcW w:w="5377" w:type="dxa"/>
            <w:noWrap w:val="0"/>
            <w:vAlign w:val="center"/>
          </w:tcPr>
          <w:p w14:paraId="4D0FE601">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优（</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 xml:space="preserve"> 分</w:t>
            </w:r>
            <w:r>
              <w:rPr>
                <w:rFonts w:hint="eastAsia" w:ascii="宋体" w:hAnsi="宋体" w:cs="宋体"/>
                <w:color w:val="auto"/>
                <w:kern w:val="0"/>
                <w:szCs w:val="21"/>
                <w:highlight w:val="none"/>
              </w:rPr>
              <w:t>）：有保证工期的具体措施且措施得力。各项计划图表编制详尽周密，安排科学合理，符合本项目施工实际要求。</w:t>
            </w:r>
          </w:p>
          <w:p w14:paraId="02FB53AC">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良（</w:t>
            </w:r>
            <w:r>
              <w:rPr>
                <w:rFonts w:ascii="宋体" w:hAnsi="宋体" w:cs="宋体"/>
                <w:bCs/>
                <w:color w:val="auto"/>
                <w:kern w:val="0"/>
                <w:szCs w:val="21"/>
                <w:highlight w:val="none"/>
              </w:rPr>
              <w:t>3</w:t>
            </w:r>
            <w:r>
              <w:rPr>
                <w:rFonts w:hint="eastAsia" w:ascii="宋体" w:hAnsi="宋体" w:cs="宋体"/>
                <w:bCs/>
                <w:color w:val="auto"/>
                <w:kern w:val="0"/>
                <w:szCs w:val="21"/>
                <w:highlight w:val="none"/>
              </w:rPr>
              <w:t>分</w:t>
            </w:r>
            <w:r>
              <w:rPr>
                <w:rFonts w:hint="eastAsia" w:ascii="宋体" w:hAnsi="宋体" w:cs="宋体"/>
                <w:color w:val="auto"/>
                <w:kern w:val="0"/>
                <w:szCs w:val="21"/>
                <w:highlight w:val="none"/>
              </w:rPr>
              <w:t>）：有保证工期的具体措施且措施得当。各项计划图表编制完善，安排较合理，符合本项目施工实际要求。</w:t>
            </w:r>
          </w:p>
          <w:p w14:paraId="5F6E26F9">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w:t>
            </w:r>
            <w:r>
              <w:rPr>
                <w:rFonts w:ascii="宋体" w:hAnsi="宋体" w:cs="宋体"/>
                <w:bCs/>
                <w:color w:val="auto"/>
                <w:kern w:val="0"/>
                <w:szCs w:val="21"/>
                <w:highlight w:val="none"/>
              </w:rPr>
              <w:t>2</w:t>
            </w:r>
            <w:r>
              <w:rPr>
                <w:rFonts w:hint="eastAsia" w:ascii="宋体" w:hAnsi="宋体" w:cs="宋体"/>
                <w:bCs/>
                <w:color w:val="auto"/>
                <w:kern w:val="0"/>
                <w:szCs w:val="21"/>
                <w:highlight w:val="none"/>
              </w:rPr>
              <w:t xml:space="preserve"> 分</w:t>
            </w:r>
            <w:r>
              <w:rPr>
                <w:rFonts w:hint="eastAsia" w:ascii="宋体" w:hAnsi="宋体" w:cs="宋体"/>
                <w:color w:val="auto"/>
                <w:kern w:val="0"/>
                <w:szCs w:val="21"/>
                <w:highlight w:val="none"/>
              </w:rPr>
              <w:t>）：有保证工期的具体措施且措施基本得当。各项计划图表编制基本完善，安排较合理，符合本项目施工实际要求。</w:t>
            </w:r>
          </w:p>
          <w:p w14:paraId="6AF2B9BA">
            <w:pPr>
              <w:spacing w:line="400" w:lineRule="exact"/>
              <w:rPr>
                <w:rFonts w:hint="eastAsia" w:ascii="宋体" w:hAnsi="Courier New"/>
                <w:color w:val="auto"/>
                <w:kern w:val="0"/>
                <w:szCs w:val="21"/>
                <w:highlight w:val="none"/>
              </w:rPr>
            </w:pPr>
            <w:r>
              <w:rPr>
                <w:rFonts w:hint="eastAsia" w:ascii="宋体" w:hAnsi="宋体" w:cs="宋体"/>
                <w:color w:val="auto"/>
                <w:kern w:val="0"/>
                <w:szCs w:val="21"/>
                <w:highlight w:val="none"/>
              </w:rPr>
              <w:t>差（</w:t>
            </w:r>
            <w:r>
              <w:rPr>
                <w:rFonts w:hint="eastAsia" w:ascii="宋体" w:hAnsi="宋体" w:cs="宋体"/>
                <w:bCs/>
                <w:color w:val="auto"/>
                <w:kern w:val="0"/>
                <w:szCs w:val="21"/>
                <w:highlight w:val="none"/>
              </w:rPr>
              <w:t>1 分</w:t>
            </w:r>
            <w:r>
              <w:rPr>
                <w:rFonts w:hint="eastAsia" w:ascii="宋体" w:hAnsi="宋体" w:cs="宋体"/>
                <w:color w:val="auto"/>
                <w:kern w:val="0"/>
                <w:szCs w:val="21"/>
                <w:highlight w:val="none"/>
              </w:rPr>
              <w:t>）：有保证工期的具体措施。各项计划图表编制不完善，安排不合理，不能满足本项目施工实际要求。</w:t>
            </w:r>
          </w:p>
        </w:tc>
      </w:tr>
      <w:tr w14:paraId="6ABD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6BE96C33">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546F1F9A">
            <w:pPr>
              <w:adjustRightInd w:val="0"/>
              <w:spacing w:line="400" w:lineRule="exact"/>
              <w:jc w:val="center"/>
              <w:textAlignment w:val="baseline"/>
              <w:rPr>
                <w:rFonts w:hint="eastAsia" w:ascii="宋体" w:hAnsi="宋体"/>
                <w:b/>
                <w:color w:val="auto"/>
                <w:szCs w:val="21"/>
                <w:highlight w:val="none"/>
              </w:rPr>
            </w:pPr>
          </w:p>
        </w:tc>
        <w:tc>
          <w:tcPr>
            <w:tcW w:w="709" w:type="dxa"/>
            <w:vMerge w:val="continue"/>
            <w:noWrap w:val="0"/>
            <w:vAlign w:val="center"/>
          </w:tcPr>
          <w:p w14:paraId="3CBA4921">
            <w:pPr>
              <w:adjustRightInd w:val="0"/>
              <w:spacing w:line="400" w:lineRule="exact"/>
              <w:jc w:val="center"/>
              <w:textAlignment w:val="baseline"/>
              <w:rPr>
                <w:rFonts w:hint="eastAsia" w:ascii="宋体" w:hAnsi="宋体"/>
                <w:b/>
                <w:color w:val="auto"/>
                <w:szCs w:val="21"/>
                <w:highlight w:val="none"/>
              </w:rPr>
            </w:pPr>
          </w:p>
        </w:tc>
        <w:tc>
          <w:tcPr>
            <w:tcW w:w="1532" w:type="dxa"/>
            <w:noWrap w:val="0"/>
            <w:vAlign w:val="center"/>
          </w:tcPr>
          <w:p w14:paraId="6283EDB9">
            <w:pPr>
              <w:spacing w:line="400" w:lineRule="exact"/>
              <w:rPr>
                <w:rFonts w:hint="eastAsia" w:ascii="宋体" w:hAnsi="Courier New"/>
                <w:b/>
                <w:color w:val="auto"/>
                <w:kern w:val="0"/>
                <w:szCs w:val="21"/>
                <w:highlight w:val="none"/>
              </w:rPr>
            </w:pPr>
            <w:r>
              <w:rPr>
                <w:rFonts w:hint="eastAsia" w:ascii="宋体" w:hAnsi="Courier New" w:cs="宋体"/>
                <w:b/>
                <w:color w:val="auto"/>
                <w:szCs w:val="21"/>
                <w:highlight w:val="none"/>
              </w:rPr>
              <w:t>（7）确保文明施工的技术组织措施</w:t>
            </w:r>
            <w:r>
              <w:rPr>
                <w:rFonts w:hint="eastAsia" w:ascii="宋体" w:hAnsi="宋体" w:cs="宋体"/>
                <w:b/>
                <w:color w:val="auto"/>
                <w:szCs w:val="21"/>
                <w:highlight w:val="none"/>
              </w:rPr>
              <w:t>（</w:t>
            </w:r>
            <w:r>
              <w:rPr>
                <w:rFonts w:hint="eastAsia" w:ascii="宋体" w:hAnsi="宋体" w:cs="等线"/>
                <w:b/>
                <w:color w:val="auto"/>
                <w:szCs w:val="21"/>
                <w:highlight w:val="none"/>
              </w:rPr>
              <w:t>满分</w:t>
            </w:r>
            <w:r>
              <w:rPr>
                <w:rFonts w:hint="eastAsia" w:ascii="宋体" w:hAnsi="宋体" w:cs="等线"/>
                <w:b/>
                <w:color w:val="auto"/>
                <w:szCs w:val="21"/>
                <w:highlight w:val="none"/>
                <w:lang w:val="en-US" w:eastAsia="zh-CN"/>
              </w:rPr>
              <w:t>6</w:t>
            </w:r>
            <w:r>
              <w:rPr>
                <w:rFonts w:hint="eastAsia" w:ascii="宋体" w:hAnsi="宋体" w:cs="等线"/>
                <w:b/>
                <w:color w:val="auto"/>
                <w:szCs w:val="21"/>
                <w:highlight w:val="none"/>
              </w:rPr>
              <w:t>分</w:t>
            </w:r>
            <w:r>
              <w:rPr>
                <w:rFonts w:hint="eastAsia" w:ascii="宋体" w:hAnsi="宋体" w:cs="宋体"/>
                <w:b/>
                <w:color w:val="auto"/>
                <w:szCs w:val="21"/>
                <w:highlight w:val="none"/>
              </w:rPr>
              <w:t>）</w:t>
            </w:r>
          </w:p>
        </w:tc>
        <w:tc>
          <w:tcPr>
            <w:tcW w:w="5377" w:type="dxa"/>
            <w:noWrap w:val="0"/>
            <w:vAlign w:val="center"/>
          </w:tcPr>
          <w:p w14:paraId="29A0DB62">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优（</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分</w:t>
            </w:r>
            <w:r>
              <w:rPr>
                <w:rFonts w:hint="eastAsia" w:ascii="宋体" w:hAnsi="宋体" w:cs="宋体"/>
                <w:color w:val="auto"/>
                <w:kern w:val="0"/>
                <w:szCs w:val="21"/>
                <w:highlight w:val="none"/>
              </w:rPr>
              <w:t>）：现场文明施工、环境保护措施和内容达到《建筑施工安全生产检查标准》、《广西壮族自治区建筑工程文明施工导则》要求；有具体实现现场文明施工目标的承诺，而且各项措施科学、具体、得力的。</w:t>
            </w:r>
          </w:p>
          <w:p w14:paraId="026BA9CD">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良（</w:t>
            </w:r>
            <w:r>
              <w:rPr>
                <w:rFonts w:ascii="宋体" w:hAnsi="宋体" w:cs="宋体"/>
                <w:bCs/>
                <w:color w:val="auto"/>
                <w:kern w:val="0"/>
                <w:szCs w:val="21"/>
                <w:highlight w:val="none"/>
              </w:rPr>
              <w:t>3</w:t>
            </w:r>
            <w:r>
              <w:rPr>
                <w:rFonts w:hint="eastAsia" w:ascii="宋体" w:hAnsi="宋体" w:cs="宋体"/>
                <w:bCs/>
                <w:color w:val="auto"/>
                <w:kern w:val="0"/>
                <w:szCs w:val="21"/>
                <w:highlight w:val="none"/>
              </w:rPr>
              <w:t>分</w:t>
            </w:r>
            <w:r>
              <w:rPr>
                <w:rFonts w:hint="eastAsia" w:ascii="宋体" w:hAnsi="宋体" w:cs="宋体"/>
                <w:color w:val="auto"/>
                <w:kern w:val="0"/>
                <w:szCs w:val="21"/>
                <w:highlight w:val="none"/>
              </w:rPr>
              <w:t>）：现场文明施工、环境保护措施和内容达到《建筑施工安全生产检查标准》、《广西壮族自治区建筑工程文明施工导则》；有具体实现现场文明施工目标的承诺，而且各项措施周全、具体、有效的。</w:t>
            </w:r>
          </w:p>
          <w:p w14:paraId="7F0A1032">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w:t>
            </w:r>
            <w:r>
              <w:rPr>
                <w:rFonts w:ascii="宋体" w:hAnsi="宋体" w:cs="宋体"/>
                <w:bCs/>
                <w:color w:val="auto"/>
                <w:kern w:val="0"/>
                <w:szCs w:val="21"/>
                <w:highlight w:val="none"/>
              </w:rPr>
              <w:t>2</w:t>
            </w:r>
            <w:r>
              <w:rPr>
                <w:rFonts w:hint="eastAsia" w:ascii="宋体" w:hAnsi="宋体" w:cs="宋体"/>
                <w:bCs/>
                <w:color w:val="auto"/>
                <w:kern w:val="0"/>
                <w:szCs w:val="21"/>
                <w:highlight w:val="none"/>
              </w:rPr>
              <w:t xml:space="preserve"> 分</w:t>
            </w:r>
            <w:r>
              <w:rPr>
                <w:rFonts w:hint="eastAsia" w:ascii="宋体" w:hAnsi="宋体" w:cs="宋体"/>
                <w:color w:val="auto"/>
                <w:kern w:val="0"/>
                <w:szCs w:val="21"/>
                <w:highlight w:val="none"/>
              </w:rPr>
              <w:t>）：现场文明施工、环境保护措施和内容基本达到《建筑施工安全生产检查标准》、《广西壮族自治区建筑工程文明施工导则》；有具体实现现场文明施工目标的承诺，而且各项措施基本全面、具体、有效的。</w:t>
            </w:r>
          </w:p>
          <w:p w14:paraId="44AF892F">
            <w:pPr>
              <w:spacing w:line="400" w:lineRule="exact"/>
              <w:rPr>
                <w:rFonts w:hint="eastAsia" w:ascii="宋体" w:hAnsi="Courier New"/>
                <w:color w:val="auto"/>
                <w:kern w:val="0"/>
                <w:szCs w:val="21"/>
                <w:highlight w:val="none"/>
              </w:rPr>
            </w:pPr>
            <w:r>
              <w:rPr>
                <w:rFonts w:hint="eastAsia" w:ascii="宋体" w:hAnsi="宋体" w:cs="宋体"/>
                <w:color w:val="auto"/>
                <w:kern w:val="0"/>
                <w:szCs w:val="21"/>
                <w:highlight w:val="none"/>
              </w:rPr>
              <w:t>差（</w:t>
            </w:r>
            <w:r>
              <w:rPr>
                <w:rFonts w:hint="eastAsia" w:ascii="宋体" w:hAnsi="宋体" w:cs="宋体"/>
                <w:bCs/>
                <w:color w:val="auto"/>
                <w:kern w:val="0"/>
                <w:szCs w:val="21"/>
                <w:highlight w:val="none"/>
              </w:rPr>
              <w:t>1 分</w:t>
            </w:r>
            <w:r>
              <w:rPr>
                <w:rFonts w:hint="eastAsia" w:ascii="宋体" w:hAnsi="宋体" w:cs="宋体"/>
                <w:color w:val="auto"/>
                <w:kern w:val="0"/>
                <w:szCs w:val="21"/>
                <w:highlight w:val="none"/>
              </w:rPr>
              <w:t>）: 现场文明施工、环境保护措施和内容与《建筑施工安全生产检查标准》、《广西壮族自治区建筑工程文明施工导则》的要求偏差大，无现场文明施工目标的承诺。</w:t>
            </w:r>
          </w:p>
        </w:tc>
      </w:tr>
      <w:tr w14:paraId="1B52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7A616E36">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594D9499">
            <w:pPr>
              <w:adjustRightInd w:val="0"/>
              <w:spacing w:line="400" w:lineRule="exact"/>
              <w:jc w:val="center"/>
              <w:textAlignment w:val="baseline"/>
              <w:rPr>
                <w:rFonts w:hint="eastAsia" w:ascii="宋体" w:hAnsi="宋体"/>
                <w:b/>
                <w:color w:val="auto"/>
                <w:szCs w:val="21"/>
                <w:highlight w:val="none"/>
              </w:rPr>
            </w:pPr>
          </w:p>
        </w:tc>
        <w:tc>
          <w:tcPr>
            <w:tcW w:w="709" w:type="dxa"/>
            <w:vMerge w:val="continue"/>
            <w:noWrap w:val="0"/>
            <w:vAlign w:val="center"/>
          </w:tcPr>
          <w:p w14:paraId="64714A79">
            <w:pPr>
              <w:adjustRightInd w:val="0"/>
              <w:spacing w:line="400" w:lineRule="exact"/>
              <w:jc w:val="center"/>
              <w:textAlignment w:val="baseline"/>
              <w:rPr>
                <w:rFonts w:hint="eastAsia" w:ascii="宋体" w:hAnsi="宋体"/>
                <w:b/>
                <w:color w:val="auto"/>
                <w:szCs w:val="21"/>
                <w:highlight w:val="none"/>
              </w:rPr>
            </w:pPr>
          </w:p>
        </w:tc>
        <w:tc>
          <w:tcPr>
            <w:tcW w:w="1532" w:type="dxa"/>
            <w:noWrap w:val="0"/>
            <w:vAlign w:val="center"/>
          </w:tcPr>
          <w:p w14:paraId="392D33CC">
            <w:pPr>
              <w:spacing w:line="400" w:lineRule="exact"/>
              <w:rPr>
                <w:rFonts w:hint="eastAsia" w:ascii="宋体" w:hAnsi="Courier New"/>
                <w:b/>
                <w:color w:val="auto"/>
                <w:kern w:val="0"/>
                <w:szCs w:val="21"/>
                <w:highlight w:val="none"/>
              </w:rPr>
            </w:pPr>
            <w:r>
              <w:rPr>
                <w:rFonts w:hint="eastAsia" w:ascii="宋体" w:hAnsi="Courier New" w:cs="宋体"/>
                <w:b/>
                <w:color w:val="auto"/>
                <w:szCs w:val="21"/>
                <w:highlight w:val="none"/>
              </w:rPr>
              <w:t>（8）工程施工的重点和难点及保证措施</w:t>
            </w:r>
            <w:r>
              <w:rPr>
                <w:rFonts w:hint="eastAsia" w:ascii="宋体" w:hAnsi="宋体" w:cs="宋体"/>
                <w:b/>
                <w:color w:val="auto"/>
                <w:szCs w:val="21"/>
                <w:highlight w:val="none"/>
              </w:rPr>
              <w:t>（</w:t>
            </w:r>
            <w:r>
              <w:rPr>
                <w:rFonts w:hint="eastAsia" w:ascii="宋体" w:hAnsi="宋体" w:cs="等线"/>
                <w:b/>
                <w:color w:val="auto"/>
                <w:szCs w:val="21"/>
                <w:highlight w:val="none"/>
              </w:rPr>
              <w:t xml:space="preserve">满分 </w:t>
            </w:r>
            <w:r>
              <w:rPr>
                <w:rFonts w:hint="eastAsia" w:ascii="宋体" w:hAnsi="宋体" w:cs="等线"/>
                <w:b/>
                <w:color w:val="auto"/>
                <w:szCs w:val="21"/>
                <w:highlight w:val="none"/>
                <w:lang w:val="en-US" w:eastAsia="zh-CN"/>
              </w:rPr>
              <w:t>6</w:t>
            </w:r>
            <w:r>
              <w:rPr>
                <w:rFonts w:hint="eastAsia" w:ascii="宋体" w:hAnsi="宋体" w:cs="等线"/>
                <w:b/>
                <w:color w:val="auto"/>
                <w:szCs w:val="21"/>
                <w:highlight w:val="none"/>
              </w:rPr>
              <w:t>分</w:t>
            </w:r>
            <w:r>
              <w:rPr>
                <w:rFonts w:hint="eastAsia" w:ascii="宋体" w:hAnsi="宋体" w:cs="宋体"/>
                <w:b/>
                <w:color w:val="auto"/>
                <w:szCs w:val="21"/>
                <w:highlight w:val="none"/>
              </w:rPr>
              <w:t>）</w:t>
            </w:r>
          </w:p>
        </w:tc>
        <w:tc>
          <w:tcPr>
            <w:tcW w:w="5377" w:type="dxa"/>
            <w:noWrap w:val="0"/>
            <w:vAlign w:val="center"/>
          </w:tcPr>
          <w:p w14:paraId="7CF08872">
            <w:pPr>
              <w:spacing w:line="288" w:lineRule="auto"/>
              <w:rPr>
                <w:rFonts w:ascii="宋体" w:hAnsi="宋体" w:cs="宋体"/>
                <w:color w:val="auto"/>
                <w:kern w:val="0"/>
                <w:szCs w:val="21"/>
                <w:highlight w:val="none"/>
              </w:rPr>
            </w:pPr>
            <w:r>
              <w:rPr>
                <w:rFonts w:hint="eastAsia" w:ascii="宋体" w:hAnsi="宋体" w:cs="宋体"/>
                <w:color w:val="auto"/>
                <w:kern w:val="0"/>
                <w:szCs w:val="21"/>
                <w:highlight w:val="none"/>
              </w:rPr>
              <w:t>优（</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 xml:space="preserve"> 分</w:t>
            </w:r>
            <w:r>
              <w:rPr>
                <w:rFonts w:hint="eastAsia" w:ascii="宋体" w:hAnsi="宋体" w:cs="宋体"/>
                <w:color w:val="auto"/>
                <w:kern w:val="0"/>
                <w:szCs w:val="21"/>
                <w:highlight w:val="none"/>
              </w:rPr>
              <w:t>）：对项目关键技术、工艺有深入的表述。对重点、难点有先进合理的施工措施并有可行的安全措施，解决方案完整、经济、安全、切实可行，措施得力。</w:t>
            </w:r>
          </w:p>
          <w:p w14:paraId="12E92B79">
            <w:pPr>
              <w:spacing w:line="288" w:lineRule="auto"/>
              <w:rPr>
                <w:rFonts w:ascii="宋体" w:hAnsi="宋体" w:cs="宋体"/>
                <w:color w:val="auto"/>
                <w:kern w:val="0"/>
                <w:szCs w:val="21"/>
                <w:highlight w:val="none"/>
              </w:rPr>
            </w:pPr>
            <w:r>
              <w:rPr>
                <w:rFonts w:hint="eastAsia" w:ascii="宋体" w:hAnsi="宋体" w:cs="宋体"/>
                <w:color w:val="auto"/>
                <w:kern w:val="0"/>
                <w:szCs w:val="21"/>
                <w:highlight w:val="none"/>
              </w:rPr>
              <w:t>良（</w:t>
            </w:r>
            <w:r>
              <w:rPr>
                <w:rFonts w:ascii="宋体" w:hAnsi="宋体" w:cs="宋体"/>
                <w:bCs/>
                <w:color w:val="auto"/>
                <w:kern w:val="0"/>
                <w:szCs w:val="21"/>
                <w:highlight w:val="none"/>
              </w:rPr>
              <w:t>3</w:t>
            </w:r>
            <w:r>
              <w:rPr>
                <w:rFonts w:hint="eastAsia" w:ascii="宋体" w:hAnsi="宋体" w:cs="宋体"/>
                <w:bCs/>
                <w:color w:val="auto"/>
                <w:kern w:val="0"/>
                <w:szCs w:val="21"/>
                <w:highlight w:val="none"/>
              </w:rPr>
              <w:t xml:space="preserve"> 分</w:t>
            </w:r>
            <w:r>
              <w:rPr>
                <w:rFonts w:hint="eastAsia" w:ascii="宋体" w:hAnsi="宋体" w:cs="宋体"/>
                <w:color w:val="auto"/>
                <w:kern w:val="0"/>
                <w:szCs w:val="21"/>
                <w:highlight w:val="none"/>
              </w:rPr>
              <w:t>）：对项目关键技术、工艺有深入的表述，对重点、难点有合理的建议，解决方案经济、安全、基本可行。</w:t>
            </w:r>
          </w:p>
          <w:p w14:paraId="0F4F7039">
            <w:pPr>
              <w:spacing w:line="288" w:lineRule="auto"/>
              <w:rPr>
                <w:rFonts w:ascii="宋体" w:hAnsi="宋体" w:cs="宋体"/>
                <w:color w:val="auto"/>
                <w:kern w:val="0"/>
                <w:szCs w:val="21"/>
                <w:highlight w:val="none"/>
              </w:rPr>
            </w:pPr>
            <w:r>
              <w:rPr>
                <w:rFonts w:hint="eastAsia" w:ascii="宋体" w:hAnsi="宋体" w:cs="宋体"/>
                <w:color w:val="auto"/>
                <w:kern w:val="0"/>
                <w:szCs w:val="21"/>
                <w:highlight w:val="none"/>
              </w:rPr>
              <w:t>中（</w:t>
            </w:r>
            <w:r>
              <w:rPr>
                <w:rFonts w:ascii="宋体" w:hAnsi="宋体" w:cs="宋体"/>
                <w:bCs/>
                <w:color w:val="auto"/>
                <w:kern w:val="0"/>
                <w:szCs w:val="21"/>
                <w:highlight w:val="none"/>
              </w:rPr>
              <w:t>2</w:t>
            </w:r>
            <w:r>
              <w:rPr>
                <w:rFonts w:hint="eastAsia" w:ascii="宋体" w:hAnsi="宋体" w:cs="宋体"/>
                <w:bCs/>
                <w:color w:val="auto"/>
                <w:kern w:val="0"/>
                <w:szCs w:val="21"/>
                <w:highlight w:val="none"/>
              </w:rPr>
              <w:t>分</w:t>
            </w:r>
            <w:r>
              <w:rPr>
                <w:rFonts w:hint="eastAsia" w:ascii="宋体" w:hAnsi="宋体" w:cs="宋体"/>
                <w:color w:val="auto"/>
                <w:kern w:val="0"/>
                <w:szCs w:val="21"/>
                <w:highlight w:val="none"/>
              </w:rPr>
              <w:t>）：对项目关键技术有一定了解，对重点、难点有建议，解决方案基本可行。</w:t>
            </w:r>
          </w:p>
          <w:p w14:paraId="59946BF9">
            <w:pPr>
              <w:spacing w:line="400" w:lineRule="exact"/>
              <w:rPr>
                <w:rFonts w:hint="eastAsia" w:ascii="宋体" w:hAnsi="Courier New"/>
                <w:color w:val="auto"/>
                <w:kern w:val="0"/>
                <w:szCs w:val="21"/>
                <w:highlight w:val="none"/>
              </w:rPr>
            </w:pPr>
            <w:r>
              <w:rPr>
                <w:rFonts w:hint="eastAsia" w:ascii="宋体" w:hAnsi="宋体" w:cs="宋体"/>
                <w:color w:val="auto"/>
                <w:kern w:val="0"/>
                <w:szCs w:val="21"/>
                <w:highlight w:val="none"/>
              </w:rPr>
              <w:t>差（</w:t>
            </w:r>
            <w:r>
              <w:rPr>
                <w:rFonts w:hint="eastAsia" w:ascii="宋体" w:hAnsi="宋体" w:cs="宋体"/>
                <w:bCs/>
                <w:color w:val="auto"/>
                <w:kern w:val="0"/>
                <w:szCs w:val="21"/>
                <w:highlight w:val="none"/>
              </w:rPr>
              <w:t>1 分</w:t>
            </w:r>
            <w:r>
              <w:rPr>
                <w:rFonts w:hint="eastAsia" w:ascii="宋体" w:hAnsi="宋体" w:cs="宋体"/>
                <w:color w:val="auto"/>
                <w:kern w:val="0"/>
                <w:szCs w:val="21"/>
                <w:highlight w:val="none"/>
              </w:rPr>
              <w:t>）：对项目关键技术有表述，对重点、难点有建议，解决方案不可行。</w:t>
            </w:r>
          </w:p>
        </w:tc>
      </w:tr>
      <w:tr w14:paraId="253A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0ED4CE2B">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4BBD8C43">
            <w:pPr>
              <w:adjustRightInd w:val="0"/>
              <w:spacing w:line="400" w:lineRule="exact"/>
              <w:jc w:val="center"/>
              <w:textAlignment w:val="baseline"/>
              <w:rPr>
                <w:rFonts w:hint="eastAsia" w:ascii="宋体" w:hAnsi="宋体"/>
                <w:b/>
                <w:color w:val="auto"/>
                <w:szCs w:val="21"/>
                <w:highlight w:val="none"/>
              </w:rPr>
            </w:pPr>
          </w:p>
        </w:tc>
        <w:tc>
          <w:tcPr>
            <w:tcW w:w="709" w:type="dxa"/>
            <w:vMerge w:val="continue"/>
            <w:noWrap w:val="0"/>
            <w:vAlign w:val="center"/>
          </w:tcPr>
          <w:p w14:paraId="1A300E2D">
            <w:pPr>
              <w:adjustRightInd w:val="0"/>
              <w:spacing w:line="400" w:lineRule="exact"/>
              <w:jc w:val="center"/>
              <w:textAlignment w:val="baseline"/>
              <w:rPr>
                <w:rFonts w:hint="eastAsia" w:ascii="宋体" w:hAnsi="宋体"/>
                <w:b/>
                <w:color w:val="auto"/>
                <w:szCs w:val="21"/>
                <w:highlight w:val="none"/>
              </w:rPr>
            </w:pPr>
          </w:p>
        </w:tc>
        <w:tc>
          <w:tcPr>
            <w:tcW w:w="1532" w:type="dxa"/>
            <w:noWrap w:val="0"/>
            <w:vAlign w:val="center"/>
          </w:tcPr>
          <w:p w14:paraId="631F9B69">
            <w:pPr>
              <w:spacing w:line="400" w:lineRule="exact"/>
              <w:rPr>
                <w:rFonts w:hint="eastAsia" w:ascii="宋体" w:hAnsi="Courier New"/>
                <w:color w:val="auto"/>
                <w:kern w:val="0"/>
                <w:szCs w:val="21"/>
                <w:highlight w:val="none"/>
              </w:rPr>
            </w:pPr>
            <w:r>
              <w:rPr>
                <w:rFonts w:hint="eastAsia" w:ascii="宋体" w:hAnsi="Courier New" w:cs="宋体"/>
                <w:b/>
                <w:color w:val="auto"/>
                <w:szCs w:val="21"/>
                <w:highlight w:val="none"/>
              </w:rPr>
              <w:t xml:space="preserve">（9）施工总平面布置图（满分 </w:t>
            </w:r>
            <w:r>
              <w:rPr>
                <w:rFonts w:hint="eastAsia" w:ascii="宋体" w:hAnsi="Courier New" w:cs="宋体"/>
                <w:b/>
                <w:color w:val="auto"/>
                <w:szCs w:val="21"/>
                <w:highlight w:val="none"/>
                <w:lang w:val="en-US" w:eastAsia="zh-CN"/>
              </w:rPr>
              <w:t>6</w:t>
            </w:r>
            <w:r>
              <w:rPr>
                <w:rFonts w:hint="eastAsia" w:ascii="宋体" w:hAnsi="Courier New" w:cs="宋体"/>
                <w:b/>
                <w:color w:val="auto"/>
                <w:szCs w:val="21"/>
                <w:highlight w:val="none"/>
              </w:rPr>
              <w:t>分）</w:t>
            </w:r>
          </w:p>
        </w:tc>
        <w:tc>
          <w:tcPr>
            <w:tcW w:w="5377" w:type="dxa"/>
            <w:noWrap w:val="0"/>
            <w:vAlign w:val="center"/>
          </w:tcPr>
          <w:p w14:paraId="41FD44E4">
            <w:pPr>
              <w:widowControl/>
              <w:spacing w:line="400" w:lineRule="exact"/>
              <w:rPr>
                <w:rFonts w:hint="eastAsia"/>
                <w:color w:val="auto"/>
                <w:highlight w:val="none"/>
              </w:rPr>
            </w:pPr>
            <w:r>
              <w:rPr>
                <w:rFonts w:hint="eastAsia"/>
                <w:color w:val="auto"/>
                <w:highlight w:val="none"/>
              </w:rPr>
              <w:t>优（</w:t>
            </w:r>
            <w:r>
              <w:rPr>
                <w:rFonts w:hint="eastAsia"/>
                <w:color w:val="auto"/>
                <w:highlight w:val="none"/>
                <w:lang w:val="en-US" w:eastAsia="zh-CN"/>
              </w:rPr>
              <w:t>6</w:t>
            </w:r>
            <w:r>
              <w:rPr>
                <w:rFonts w:hint="eastAsia"/>
                <w:color w:val="auto"/>
                <w:highlight w:val="none"/>
              </w:rPr>
              <w:t xml:space="preserve"> 分）：总体布置有针对性、合理，较好满足施工需要，符合安全、文明生产要求。</w:t>
            </w:r>
          </w:p>
          <w:p w14:paraId="19E52870">
            <w:pPr>
              <w:widowControl/>
              <w:spacing w:line="400" w:lineRule="exact"/>
              <w:rPr>
                <w:rFonts w:hint="eastAsia"/>
                <w:color w:val="auto"/>
                <w:highlight w:val="none"/>
              </w:rPr>
            </w:pPr>
            <w:r>
              <w:rPr>
                <w:rFonts w:hint="eastAsia"/>
                <w:color w:val="auto"/>
                <w:highlight w:val="none"/>
              </w:rPr>
              <w:t>良（3 分）：总体布置合理，能满足施工需要，基本符合安全、文明生产</w:t>
            </w:r>
          </w:p>
          <w:p w14:paraId="55A22605">
            <w:pPr>
              <w:widowControl/>
              <w:spacing w:line="400" w:lineRule="exact"/>
              <w:rPr>
                <w:rFonts w:hint="eastAsia"/>
                <w:color w:val="auto"/>
                <w:highlight w:val="none"/>
              </w:rPr>
            </w:pPr>
            <w:r>
              <w:rPr>
                <w:rFonts w:hint="eastAsia"/>
                <w:color w:val="auto"/>
                <w:highlight w:val="none"/>
              </w:rPr>
              <w:t>要求。</w:t>
            </w:r>
          </w:p>
          <w:p w14:paraId="5D3E987A">
            <w:pPr>
              <w:widowControl/>
              <w:spacing w:line="400" w:lineRule="exact"/>
              <w:rPr>
                <w:rFonts w:hint="eastAsia"/>
                <w:color w:val="auto"/>
                <w:highlight w:val="none"/>
              </w:rPr>
            </w:pPr>
            <w:r>
              <w:rPr>
                <w:rFonts w:hint="eastAsia"/>
                <w:color w:val="auto"/>
                <w:highlight w:val="none"/>
              </w:rPr>
              <w:t>中（2 分）：总体布置基本合理，基本满足施工需要。</w:t>
            </w:r>
          </w:p>
          <w:p w14:paraId="46411E8D">
            <w:pPr>
              <w:widowControl/>
              <w:spacing w:line="400" w:lineRule="exact"/>
              <w:rPr>
                <w:color w:val="auto"/>
                <w:highlight w:val="none"/>
              </w:rPr>
            </w:pPr>
            <w:r>
              <w:rPr>
                <w:rFonts w:hint="eastAsia"/>
                <w:color w:val="auto"/>
                <w:highlight w:val="none"/>
              </w:rPr>
              <w:t>差（1 分）：总体布置不合理，不符合安全、文明生产要求。</w:t>
            </w:r>
          </w:p>
        </w:tc>
      </w:tr>
      <w:tr w14:paraId="0361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55A4F6B5">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280" w:type="dxa"/>
            <w:vMerge w:val="restart"/>
            <w:noWrap w:val="0"/>
            <w:vAlign w:val="center"/>
          </w:tcPr>
          <w:p w14:paraId="1DB3DE30">
            <w:pPr>
              <w:adjustRightInd w:val="0"/>
              <w:spacing w:line="400" w:lineRule="exact"/>
              <w:jc w:val="center"/>
              <w:textAlignment w:val="baseline"/>
              <w:rPr>
                <w:rFonts w:hint="eastAsia" w:ascii="宋体" w:hAnsi="宋体"/>
                <w:b/>
                <w:color w:val="auto"/>
                <w:szCs w:val="21"/>
                <w:highlight w:val="none"/>
              </w:rPr>
            </w:pPr>
            <w:r>
              <w:rPr>
                <w:rFonts w:hint="eastAsia" w:ascii="宋体" w:hAnsi="Courier New" w:cs="宋体"/>
                <w:b/>
                <w:color w:val="auto"/>
                <w:szCs w:val="21"/>
                <w:highlight w:val="none"/>
              </w:rPr>
              <w:t>项目管理机构配备</w:t>
            </w:r>
          </w:p>
        </w:tc>
        <w:tc>
          <w:tcPr>
            <w:tcW w:w="709" w:type="dxa"/>
            <w:vMerge w:val="restart"/>
            <w:noWrap w:val="0"/>
            <w:vAlign w:val="center"/>
          </w:tcPr>
          <w:p w14:paraId="275CE750">
            <w:pPr>
              <w:adjustRightInd w:val="0"/>
              <w:spacing w:line="400" w:lineRule="exact"/>
              <w:jc w:val="center"/>
              <w:textAlignment w:val="baseline"/>
              <w:rPr>
                <w:rFonts w:hint="eastAsia" w:ascii="宋体" w:hAnsi="宋体"/>
                <w:b/>
                <w:color w:val="auto"/>
                <w:szCs w:val="21"/>
                <w:highlight w:val="none"/>
              </w:rPr>
            </w:pPr>
            <w:r>
              <w:rPr>
                <w:rFonts w:ascii="宋体" w:hAnsi="宋体"/>
                <w:b/>
                <w:color w:val="auto"/>
                <w:szCs w:val="21"/>
                <w:highlight w:val="none"/>
              </w:rPr>
              <w:t>10</w:t>
            </w:r>
            <w:r>
              <w:rPr>
                <w:rFonts w:hint="eastAsia" w:ascii="宋体" w:hAnsi="宋体"/>
                <w:b/>
                <w:color w:val="auto"/>
                <w:szCs w:val="21"/>
                <w:highlight w:val="none"/>
              </w:rPr>
              <w:t>分</w:t>
            </w:r>
          </w:p>
        </w:tc>
        <w:tc>
          <w:tcPr>
            <w:tcW w:w="1532" w:type="dxa"/>
            <w:noWrap w:val="0"/>
            <w:vAlign w:val="center"/>
          </w:tcPr>
          <w:p w14:paraId="1ABE6C3D">
            <w:pPr>
              <w:spacing w:line="400" w:lineRule="exact"/>
              <w:ind w:left="-87" w:leftChars="-42" w:right="34" w:rightChars="16" w:hanging="1"/>
              <w:jc w:val="center"/>
              <w:rPr>
                <w:rFonts w:ascii="宋体"/>
                <w:color w:val="auto"/>
                <w:szCs w:val="21"/>
                <w:highlight w:val="none"/>
              </w:rPr>
            </w:pPr>
            <w:r>
              <w:rPr>
                <w:rFonts w:hint="eastAsia" w:ascii="宋体" w:hAnsi="宋体"/>
                <w:color w:val="auto"/>
                <w:szCs w:val="21"/>
                <w:highlight w:val="none"/>
              </w:rPr>
              <w:t>项目经理</w:t>
            </w:r>
          </w:p>
          <w:p w14:paraId="098194FF">
            <w:pPr>
              <w:spacing w:line="400" w:lineRule="exact"/>
              <w:ind w:left="-87" w:leftChars="-42" w:right="34" w:rightChars="16" w:hanging="1"/>
              <w:jc w:val="center"/>
              <w:rPr>
                <w:rFonts w:asci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分）</w:t>
            </w:r>
          </w:p>
        </w:tc>
        <w:tc>
          <w:tcPr>
            <w:tcW w:w="5377" w:type="dxa"/>
            <w:noWrap w:val="0"/>
            <w:vAlign w:val="center"/>
          </w:tcPr>
          <w:p w14:paraId="09EE7B3A">
            <w:pPr>
              <w:spacing w:line="400" w:lineRule="exact"/>
              <w:rPr>
                <w:rFonts w:hint="eastAsia" w:ascii="宋体" w:hAnsi="宋体"/>
                <w:color w:val="auto"/>
                <w:szCs w:val="21"/>
                <w:highlight w:val="none"/>
              </w:rPr>
            </w:pPr>
            <w:r>
              <w:rPr>
                <w:rFonts w:hint="eastAsia" w:ascii="宋体" w:hAnsi="宋体" w:cs="等线"/>
                <w:color w:val="auto"/>
                <w:szCs w:val="21"/>
                <w:highlight w:val="none"/>
              </w:rPr>
              <w:t>拟投入本工程的项目经理具有助理工程师专业技术职称的得</w:t>
            </w:r>
            <w:r>
              <w:rPr>
                <w:rFonts w:ascii="宋体" w:hAnsi="宋体" w:cs="等线"/>
                <w:color w:val="auto"/>
                <w:szCs w:val="21"/>
                <w:highlight w:val="none"/>
              </w:rPr>
              <w:t>1</w:t>
            </w:r>
            <w:r>
              <w:rPr>
                <w:rFonts w:hint="eastAsia" w:ascii="宋体" w:hAnsi="宋体" w:cs="等线"/>
                <w:color w:val="auto"/>
                <w:szCs w:val="21"/>
                <w:highlight w:val="none"/>
              </w:rPr>
              <w:t>分；具有</w:t>
            </w:r>
            <w:r>
              <w:rPr>
                <w:rFonts w:hint="eastAsia" w:ascii="宋体" w:hAnsi="宋体" w:cs="等线"/>
                <w:bCs/>
                <w:color w:val="auto"/>
                <w:szCs w:val="21"/>
                <w:highlight w:val="none"/>
              </w:rPr>
              <w:t>中级工程师及以上</w:t>
            </w:r>
            <w:r>
              <w:rPr>
                <w:rFonts w:hint="eastAsia" w:ascii="宋体" w:hAnsi="宋体" w:cs="等线"/>
                <w:color w:val="auto"/>
                <w:szCs w:val="21"/>
                <w:highlight w:val="none"/>
              </w:rPr>
              <w:t>专业技术职称的得</w:t>
            </w:r>
            <w:r>
              <w:rPr>
                <w:rFonts w:ascii="宋体" w:hAnsi="宋体" w:cs="等线"/>
                <w:bCs/>
                <w:color w:val="auto"/>
                <w:szCs w:val="21"/>
                <w:highlight w:val="none"/>
              </w:rPr>
              <w:t>2</w:t>
            </w:r>
            <w:r>
              <w:rPr>
                <w:rFonts w:hint="eastAsia" w:ascii="宋体" w:hAnsi="宋体" w:cs="等线"/>
                <w:bCs/>
                <w:color w:val="auto"/>
                <w:szCs w:val="21"/>
                <w:highlight w:val="none"/>
              </w:rPr>
              <w:t>分</w:t>
            </w:r>
            <w:r>
              <w:rPr>
                <w:rFonts w:hint="eastAsia" w:ascii="宋体" w:hAnsi="宋体"/>
                <w:color w:val="auto"/>
                <w:szCs w:val="21"/>
                <w:highlight w:val="none"/>
              </w:rPr>
              <w:t>。</w:t>
            </w:r>
          </w:p>
        </w:tc>
      </w:tr>
      <w:tr w14:paraId="6B5A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48D8AEB5">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48CEF433">
            <w:pPr>
              <w:adjustRightInd w:val="0"/>
              <w:spacing w:line="400" w:lineRule="exact"/>
              <w:jc w:val="center"/>
              <w:textAlignment w:val="baseline"/>
              <w:rPr>
                <w:rFonts w:hint="eastAsia" w:ascii="宋体" w:hAnsi="Courier New" w:cs="宋体"/>
                <w:b/>
                <w:color w:val="auto"/>
                <w:szCs w:val="21"/>
                <w:highlight w:val="none"/>
              </w:rPr>
            </w:pPr>
          </w:p>
        </w:tc>
        <w:tc>
          <w:tcPr>
            <w:tcW w:w="709" w:type="dxa"/>
            <w:vMerge w:val="continue"/>
            <w:noWrap w:val="0"/>
            <w:vAlign w:val="center"/>
          </w:tcPr>
          <w:p w14:paraId="1324D6FC">
            <w:pPr>
              <w:adjustRightInd w:val="0"/>
              <w:spacing w:line="400" w:lineRule="exact"/>
              <w:jc w:val="center"/>
              <w:textAlignment w:val="baseline"/>
              <w:rPr>
                <w:rFonts w:ascii="宋体" w:hAnsi="宋体"/>
                <w:b/>
                <w:color w:val="auto"/>
                <w:szCs w:val="21"/>
                <w:highlight w:val="none"/>
              </w:rPr>
            </w:pPr>
          </w:p>
        </w:tc>
        <w:tc>
          <w:tcPr>
            <w:tcW w:w="1532" w:type="dxa"/>
            <w:noWrap w:val="0"/>
            <w:vAlign w:val="center"/>
          </w:tcPr>
          <w:p w14:paraId="299459EA">
            <w:pPr>
              <w:spacing w:line="400" w:lineRule="exact"/>
              <w:ind w:right="34" w:rightChars="16"/>
              <w:jc w:val="center"/>
              <w:rPr>
                <w:rFonts w:ascii="宋体" w:cs="宋体"/>
                <w:color w:val="auto"/>
                <w:szCs w:val="21"/>
                <w:highlight w:val="none"/>
              </w:rPr>
            </w:pPr>
            <w:r>
              <w:rPr>
                <w:rFonts w:hint="eastAsia" w:ascii="宋体" w:hAnsi="宋体"/>
                <w:color w:val="auto"/>
                <w:szCs w:val="21"/>
                <w:highlight w:val="none"/>
              </w:rPr>
              <w:t>技术负责人（</w:t>
            </w:r>
            <w:r>
              <w:rPr>
                <w:rFonts w:ascii="宋体" w:hAnsi="宋体"/>
                <w:color w:val="auto"/>
                <w:szCs w:val="21"/>
                <w:highlight w:val="none"/>
              </w:rPr>
              <w:t>4</w:t>
            </w:r>
            <w:r>
              <w:rPr>
                <w:rFonts w:hint="eastAsia" w:ascii="宋体" w:hAnsi="宋体"/>
                <w:color w:val="auto"/>
                <w:szCs w:val="21"/>
                <w:highlight w:val="none"/>
              </w:rPr>
              <w:t>分）</w:t>
            </w:r>
          </w:p>
        </w:tc>
        <w:tc>
          <w:tcPr>
            <w:tcW w:w="5377" w:type="dxa"/>
            <w:noWrap w:val="0"/>
            <w:vAlign w:val="center"/>
          </w:tcPr>
          <w:p w14:paraId="2027046D">
            <w:pPr>
              <w:spacing w:line="400" w:lineRule="exact"/>
              <w:ind w:right="105" w:rightChars="50"/>
              <w:rPr>
                <w:rFonts w:ascii="宋体" w:hAnsi="宋体"/>
                <w:color w:val="auto"/>
                <w:highlight w:val="none"/>
              </w:rPr>
            </w:pPr>
            <w:r>
              <w:rPr>
                <w:rFonts w:hint="eastAsia" w:ascii="宋体" w:hAnsi="宋体" w:cs="等线"/>
                <w:color w:val="auto"/>
                <w:szCs w:val="21"/>
                <w:highlight w:val="none"/>
              </w:rPr>
              <w:t>拟投入本工程的技术负责人取得建筑工程类相关专业</w:t>
            </w:r>
            <w:r>
              <w:rPr>
                <w:rFonts w:hint="eastAsia" w:ascii="宋体" w:hAnsi="宋体" w:cs="等线"/>
                <w:bCs/>
                <w:color w:val="auto"/>
                <w:szCs w:val="21"/>
                <w:highlight w:val="none"/>
              </w:rPr>
              <w:t>级工程师及以上</w:t>
            </w:r>
            <w:r>
              <w:rPr>
                <w:rFonts w:hint="eastAsia" w:ascii="宋体" w:hAnsi="宋体" w:cs="等线"/>
                <w:color w:val="auto"/>
                <w:szCs w:val="21"/>
                <w:highlight w:val="none"/>
              </w:rPr>
              <w:t>专业技术职称的得</w:t>
            </w:r>
            <w:r>
              <w:rPr>
                <w:rFonts w:hint="eastAsia" w:ascii="宋体" w:hAnsi="宋体" w:cs="等线"/>
                <w:bCs/>
                <w:color w:val="auto"/>
                <w:szCs w:val="21"/>
                <w:highlight w:val="none"/>
              </w:rPr>
              <w:t>4分</w:t>
            </w:r>
            <w:r>
              <w:rPr>
                <w:rFonts w:hint="eastAsia" w:ascii="宋体" w:hAnsi="宋体" w:cs="等线"/>
                <w:color w:val="auto"/>
                <w:szCs w:val="21"/>
                <w:highlight w:val="none"/>
              </w:rPr>
              <w:t>。本项满分4分</w:t>
            </w:r>
            <w:r>
              <w:rPr>
                <w:rFonts w:hint="eastAsia" w:ascii="宋体" w:hAnsi="宋体"/>
                <w:color w:val="auto"/>
                <w:highlight w:val="none"/>
              </w:rPr>
              <w:t>。</w:t>
            </w:r>
          </w:p>
        </w:tc>
      </w:tr>
      <w:tr w14:paraId="43D6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0CC88926">
            <w:pPr>
              <w:adjustRightInd w:val="0"/>
              <w:spacing w:line="400" w:lineRule="exact"/>
              <w:jc w:val="center"/>
              <w:textAlignment w:val="baseline"/>
              <w:rPr>
                <w:rFonts w:hint="eastAsia" w:ascii="宋体" w:hAnsi="宋体"/>
                <w:b/>
                <w:color w:val="auto"/>
                <w:szCs w:val="21"/>
                <w:highlight w:val="none"/>
              </w:rPr>
            </w:pPr>
          </w:p>
        </w:tc>
        <w:tc>
          <w:tcPr>
            <w:tcW w:w="1280" w:type="dxa"/>
            <w:vMerge w:val="continue"/>
            <w:noWrap w:val="0"/>
            <w:vAlign w:val="center"/>
          </w:tcPr>
          <w:p w14:paraId="4D28F1A6">
            <w:pPr>
              <w:adjustRightInd w:val="0"/>
              <w:spacing w:line="400" w:lineRule="exact"/>
              <w:jc w:val="center"/>
              <w:textAlignment w:val="baseline"/>
              <w:rPr>
                <w:rFonts w:hint="eastAsia" w:ascii="宋体" w:hAnsi="Courier New" w:cs="宋体"/>
                <w:b/>
                <w:color w:val="auto"/>
                <w:szCs w:val="21"/>
                <w:highlight w:val="none"/>
              </w:rPr>
            </w:pPr>
          </w:p>
        </w:tc>
        <w:tc>
          <w:tcPr>
            <w:tcW w:w="709" w:type="dxa"/>
            <w:vMerge w:val="continue"/>
            <w:noWrap w:val="0"/>
            <w:vAlign w:val="center"/>
          </w:tcPr>
          <w:p w14:paraId="6A087C6F">
            <w:pPr>
              <w:adjustRightInd w:val="0"/>
              <w:spacing w:line="400" w:lineRule="exact"/>
              <w:jc w:val="center"/>
              <w:textAlignment w:val="baseline"/>
              <w:rPr>
                <w:rFonts w:ascii="宋体" w:hAnsi="宋体"/>
                <w:b/>
                <w:color w:val="auto"/>
                <w:szCs w:val="21"/>
                <w:highlight w:val="none"/>
              </w:rPr>
            </w:pPr>
          </w:p>
        </w:tc>
        <w:tc>
          <w:tcPr>
            <w:tcW w:w="1532" w:type="dxa"/>
            <w:noWrap w:val="0"/>
            <w:vAlign w:val="center"/>
          </w:tcPr>
          <w:p w14:paraId="17835901">
            <w:pPr>
              <w:spacing w:line="400" w:lineRule="exact"/>
              <w:jc w:val="center"/>
              <w:rPr>
                <w:rFonts w:ascii="宋体" w:cs="宋体"/>
                <w:color w:val="auto"/>
                <w:szCs w:val="21"/>
                <w:highlight w:val="none"/>
              </w:rPr>
            </w:pPr>
            <w:r>
              <w:rPr>
                <w:rFonts w:hint="eastAsia" w:ascii="宋体" w:hAnsi="宋体"/>
                <w:color w:val="auto"/>
                <w:szCs w:val="21"/>
                <w:highlight w:val="none"/>
              </w:rPr>
              <w:t>主要管理人员（4分）</w:t>
            </w:r>
          </w:p>
        </w:tc>
        <w:tc>
          <w:tcPr>
            <w:tcW w:w="5377" w:type="dxa"/>
            <w:noWrap w:val="0"/>
            <w:vAlign w:val="center"/>
          </w:tcPr>
          <w:p w14:paraId="6275B138">
            <w:pPr>
              <w:spacing w:line="360" w:lineRule="auto"/>
              <w:ind w:right="105" w:rightChars="50"/>
              <w:rPr>
                <w:rFonts w:ascii="宋体" w:hAnsi="宋体" w:cs="宋体"/>
                <w:bCs/>
                <w:color w:val="auto"/>
                <w:szCs w:val="21"/>
                <w:highlight w:val="none"/>
              </w:rPr>
            </w:pPr>
            <w:r>
              <w:rPr>
                <w:rFonts w:hint="eastAsia" w:ascii="宋体" w:hAnsi="宋体" w:cs="宋体"/>
                <w:color w:val="auto"/>
                <w:szCs w:val="21"/>
                <w:highlight w:val="none"/>
              </w:rPr>
              <w:t>拟投入本工程的主要管理人员（安全员、施工员、质量员、材料员）具有</w:t>
            </w:r>
            <w:r>
              <w:rPr>
                <w:rFonts w:hint="eastAsia" w:ascii="宋体" w:hAnsi="宋体" w:cs="宋体"/>
                <w:bCs/>
                <w:color w:val="auto"/>
                <w:szCs w:val="21"/>
                <w:highlight w:val="none"/>
              </w:rPr>
              <w:t>相应的“职业培训合格证”，</w:t>
            </w:r>
            <w:r>
              <w:rPr>
                <w:rFonts w:hint="eastAsia" w:ascii="宋体" w:hAnsi="宋体" w:cs="宋体"/>
                <w:color w:val="auto"/>
                <w:szCs w:val="21"/>
                <w:highlight w:val="none"/>
              </w:rPr>
              <w:t>每个岗位得1分，最多得4分。</w:t>
            </w:r>
          </w:p>
          <w:p w14:paraId="70EEB808">
            <w:pPr>
              <w:spacing w:line="400" w:lineRule="exact"/>
              <w:ind w:right="105" w:rightChars="50"/>
              <w:rPr>
                <w:rFonts w:ascii="宋体" w:cs="宋体"/>
                <w:color w:val="auto"/>
                <w:szCs w:val="21"/>
                <w:highlight w:val="none"/>
              </w:rPr>
            </w:pPr>
            <w:r>
              <w:rPr>
                <w:rFonts w:hint="eastAsia" w:ascii="宋体" w:hAnsi="宋体" w:cs="宋体"/>
                <w:color w:val="auto"/>
                <w:szCs w:val="21"/>
                <w:highlight w:val="none"/>
              </w:rPr>
              <w:t>（每个岗位只计一人得分，不重复计分）</w:t>
            </w:r>
          </w:p>
        </w:tc>
      </w:tr>
      <w:tr w14:paraId="069B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9F99853">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4</w:t>
            </w:r>
          </w:p>
        </w:tc>
        <w:tc>
          <w:tcPr>
            <w:tcW w:w="1280" w:type="dxa"/>
            <w:noWrap w:val="0"/>
            <w:vAlign w:val="center"/>
          </w:tcPr>
          <w:p w14:paraId="7AE5CFCF">
            <w:pPr>
              <w:adjustRightInd w:val="0"/>
              <w:spacing w:line="400" w:lineRule="exact"/>
              <w:jc w:val="center"/>
              <w:textAlignment w:val="baseline"/>
              <w:rPr>
                <w:rFonts w:hint="eastAsia" w:ascii="宋体" w:hAnsi="Courier New" w:cs="宋体"/>
                <w:b/>
                <w:color w:val="auto"/>
                <w:szCs w:val="21"/>
                <w:highlight w:val="none"/>
              </w:rPr>
            </w:pPr>
            <w:r>
              <w:rPr>
                <w:rFonts w:hint="eastAsia" w:ascii="宋体" w:hAnsi="Courier New" w:cs="宋体"/>
                <w:b/>
                <w:color w:val="auto"/>
                <w:szCs w:val="21"/>
                <w:highlight w:val="none"/>
              </w:rPr>
              <w:t>信誉业绩</w:t>
            </w:r>
          </w:p>
        </w:tc>
        <w:tc>
          <w:tcPr>
            <w:tcW w:w="709" w:type="dxa"/>
            <w:noWrap w:val="0"/>
            <w:vAlign w:val="center"/>
          </w:tcPr>
          <w:p w14:paraId="73878E88">
            <w:pPr>
              <w:adjustRightInd w:val="0"/>
              <w:spacing w:line="400" w:lineRule="exact"/>
              <w:jc w:val="center"/>
              <w:textAlignment w:val="baseline"/>
              <w:rPr>
                <w:rFonts w:hint="eastAsia" w:ascii="宋体" w:hAnsi="宋体"/>
                <w:b/>
                <w:color w:val="auto"/>
                <w:szCs w:val="21"/>
                <w:highlight w:val="none"/>
              </w:rPr>
            </w:pPr>
            <w:r>
              <w:rPr>
                <w:rFonts w:ascii="宋体" w:hAnsi="宋体"/>
                <w:b/>
                <w:color w:val="auto"/>
                <w:szCs w:val="21"/>
                <w:highlight w:val="none"/>
              </w:rPr>
              <w:t>10</w:t>
            </w:r>
            <w:r>
              <w:rPr>
                <w:rFonts w:hint="eastAsia" w:ascii="宋体" w:hAnsi="宋体"/>
                <w:b/>
                <w:color w:val="auto"/>
                <w:szCs w:val="21"/>
                <w:highlight w:val="none"/>
              </w:rPr>
              <w:t>分</w:t>
            </w:r>
          </w:p>
        </w:tc>
        <w:tc>
          <w:tcPr>
            <w:tcW w:w="6909" w:type="dxa"/>
            <w:gridSpan w:val="2"/>
            <w:noWrap w:val="0"/>
            <w:vAlign w:val="center"/>
          </w:tcPr>
          <w:p w14:paraId="649AF763">
            <w:pPr>
              <w:spacing w:line="400" w:lineRule="exact"/>
              <w:rPr>
                <w:rFonts w:ascii="宋体" w:hAnsi="宋体" w:cs="宋体"/>
                <w:bCs/>
                <w:color w:val="auto"/>
                <w:szCs w:val="21"/>
                <w:highlight w:val="none"/>
              </w:rPr>
            </w:pPr>
            <w:r>
              <w:rPr>
                <w:rFonts w:hint="eastAsia" w:ascii="宋体" w:hAnsi="宋体" w:cs="宋体"/>
                <w:bCs/>
                <w:color w:val="auto"/>
                <w:szCs w:val="21"/>
                <w:highlight w:val="none"/>
              </w:rPr>
              <w:t>（1）自2020年1月1日起至投标截止时间止企业承接过质量合格的类似工程施工业绩（以合同协议书或中标通知书、竣工验收证明材料为准），</w:t>
            </w:r>
            <w:r>
              <w:rPr>
                <w:rFonts w:hint="eastAsia" w:ascii="宋体" w:hAnsi="宋体" w:cs="宋体"/>
                <w:color w:val="auto"/>
                <w:szCs w:val="21"/>
                <w:highlight w:val="none"/>
              </w:rPr>
              <w:t>每个得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r>
              <w:rPr>
                <w:rFonts w:hint="eastAsia" w:ascii="宋体" w:hAnsi="宋体" w:cs="宋体"/>
                <w:bCs/>
                <w:color w:val="auto"/>
                <w:szCs w:val="21"/>
                <w:highlight w:val="none"/>
              </w:rPr>
              <w:t>，本项满分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bCs/>
                <w:color w:val="auto"/>
                <w:szCs w:val="21"/>
                <w:highlight w:val="none"/>
              </w:rPr>
              <w:t>。</w:t>
            </w:r>
          </w:p>
          <w:p w14:paraId="19A2816A">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）竞标人自2020年以来连续三年被评价为纳税信用</w:t>
            </w:r>
            <w:r>
              <w:rPr>
                <w:rFonts w:hint="eastAsia" w:ascii="宋体" w:hAnsi="宋体" w:cs="宋体"/>
                <w:color w:val="auto"/>
                <w:szCs w:val="21"/>
                <w:highlight w:val="none"/>
              </w:rPr>
              <w:t>B级及以上</w:t>
            </w:r>
            <w:r>
              <w:rPr>
                <w:rFonts w:hint="eastAsia" w:ascii="宋体" w:hAnsi="宋体" w:cs="宋体"/>
                <w:bCs/>
                <w:color w:val="auto"/>
                <w:szCs w:val="21"/>
                <w:highlight w:val="none"/>
              </w:rPr>
              <w:t>纳税人的得2分,本项满分2分。 （需附《国家税务总局网站》或《信用中国网站》查询的截图，否则不得分）。</w:t>
            </w:r>
          </w:p>
          <w:p w14:paraId="594C3BDF">
            <w:pPr>
              <w:pStyle w:val="5"/>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竞标人自 2021 年</w:t>
            </w:r>
            <w:r>
              <w:rPr>
                <w:rFonts w:hint="eastAsia" w:ascii="宋体" w:hAnsi="宋体" w:eastAsia="宋体" w:cs="宋体"/>
                <w:color w:val="auto"/>
                <w:kern w:val="0"/>
                <w:sz w:val="21"/>
                <w:szCs w:val="21"/>
                <w:highlight w:val="none"/>
                <w:lang w:val="en-US" w:eastAsia="zh-CN" w:bidi="ar"/>
              </w:rPr>
              <w:t>以来连续3年获得</w:t>
            </w:r>
            <w:r>
              <w:rPr>
                <w:rFonts w:hint="eastAsia" w:ascii="宋体" w:hAnsi="宋体" w:eastAsia="宋体" w:cs="宋体"/>
                <w:color w:val="auto"/>
                <w:sz w:val="21"/>
                <w:highlight w:val="none"/>
                <w:lang w:val="en-US" w:eastAsia="zh-CN"/>
              </w:rPr>
              <w:t>获得省级（含省级）以上政府部门（不含各类行业协会、学会等非政府部门）颁发的年度“守合同重信用”证书的的得2分，本项满分2分。（须提供公示证书扫描件，否则不得分。）</w:t>
            </w:r>
          </w:p>
          <w:p w14:paraId="137C3129">
            <w:pPr>
              <w:spacing w:line="400" w:lineRule="exact"/>
              <w:rPr>
                <w:rFonts w:hint="eastAsia" w:ascii="宋体" w:hAnsi="宋体" w:cs="宋体"/>
                <w:bCs/>
                <w:color w:val="auto"/>
                <w:szCs w:val="21"/>
                <w:highlight w:val="none"/>
              </w:rPr>
            </w:pPr>
            <w:r>
              <w:rPr>
                <w:rFonts w:hint="eastAsia" w:ascii="宋体" w:hAnsi="宋体" w:eastAsia="宋体" w:cs="宋体"/>
                <w:color w:val="auto"/>
                <w:sz w:val="21"/>
                <w:highlight w:val="none"/>
                <w:lang w:val="en-US" w:eastAsia="zh-CN"/>
              </w:rPr>
              <w:t>（4）竞标人通过GB/T ISO9001质量管理体系认证、ISO环境管理体系认证、职业健康安全管理体系认证，（能在国家认证认可监督管理委员会网站查询且在有效的认证审核期内的，并附官网截图，否则不得分）每项得1分，本项满分3分。</w:t>
            </w:r>
          </w:p>
        </w:tc>
      </w:tr>
      <w:tr w14:paraId="4CFD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noWrap w:val="0"/>
            <w:vAlign w:val="center"/>
          </w:tcPr>
          <w:p w14:paraId="3C08760D">
            <w:pPr>
              <w:spacing w:line="400" w:lineRule="exact"/>
              <w:rPr>
                <w:rFonts w:hint="eastAsia" w:ascii="宋体" w:hAnsi="宋体" w:cs="Courier New"/>
                <w:bCs/>
                <w:color w:val="auto"/>
                <w:szCs w:val="21"/>
                <w:highlight w:val="none"/>
              </w:rPr>
            </w:pPr>
            <w:r>
              <w:rPr>
                <w:rFonts w:hint="eastAsia" w:ascii="宋体" w:hAnsi="宋体" w:cs="Courier New"/>
                <w:b/>
                <w:bCs/>
                <w:color w:val="auto"/>
                <w:szCs w:val="21"/>
                <w:highlight w:val="none"/>
              </w:rPr>
              <w:t>总得分=1+2+3+4。</w:t>
            </w:r>
          </w:p>
        </w:tc>
      </w:tr>
    </w:tbl>
    <w:p w14:paraId="1962B76C">
      <w:pPr>
        <w:spacing w:line="420" w:lineRule="exact"/>
        <w:ind w:firstLine="422" w:firstLineChars="200"/>
        <w:rPr>
          <w:rFonts w:ascii="宋体" w:hAnsi="宋体"/>
          <w:b/>
        </w:rPr>
      </w:pPr>
    </w:p>
    <w:p w14:paraId="5BE7CBF7">
      <w:pPr>
        <w:spacing w:line="420" w:lineRule="exact"/>
        <w:ind w:firstLine="422" w:firstLineChars="200"/>
        <w:rPr>
          <w:rFonts w:hint="eastAsia" w:ascii="宋体" w:hAnsi="宋体"/>
          <w:b/>
        </w:rPr>
      </w:pPr>
      <w:r>
        <w:rPr>
          <w:rFonts w:hint="eastAsia" w:ascii="宋体" w:hAnsi="宋体"/>
          <w:b/>
        </w:rPr>
        <w:t>三、成交候选供应商推荐原则</w:t>
      </w:r>
    </w:p>
    <w:p w14:paraId="2C63E3CE">
      <w:pPr>
        <w:spacing w:line="400" w:lineRule="exact"/>
        <w:ind w:firstLine="420" w:firstLineChars="200"/>
        <w:rPr>
          <w:rFonts w:hint="eastAsia" w:ascii="宋体" w:hAnsi="宋体"/>
        </w:rPr>
      </w:pPr>
      <w:r>
        <w:rPr>
          <w:rFonts w:hint="eastAsia" w:ascii="宋体" w:hAnsi="宋体"/>
        </w:rPr>
        <w:t>（一）磋商小组将根据总得分由高到低对供应商排列次序（得分相同时，以最终报价由低到高顺序排列；得分相同且最终报价相同的，按施工组织设计优劣顺序排列），并推荐前三名为成交候选人。采购人应当确定磋商小组推荐排名第一的成交候选人为成交供应商。</w:t>
      </w:r>
    </w:p>
    <w:p w14:paraId="4621F026">
      <w:pPr>
        <w:spacing w:line="420" w:lineRule="exact"/>
        <w:ind w:firstLine="420" w:firstLineChars="200"/>
        <w:rPr>
          <w:rFonts w:hint="eastAsia" w:ascii="宋体" w:hAnsi="宋体"/>
        </w:rPr>
      </w:pPr>
      <w:r>
        <w:rPr>
          <w:rFonts w:hint="eastAsia" w:ascii="宋体" w:hAnsi="宋体"/>
          <w:szCs w:val="21"/>
        </w:rPr>
        <w:t>（二）</w:t>
      </w:r>
      <w:r>
        <w:rPr>
          <w:rFonts w:ascii="宋体" w:hAnsi="宋体"/>
          <w:szCs w:val="21"/>
        </w:rPr>
        <w:t>成交</w:t>
      </w:r>
      <w:r>
        <w:rPr>
          <w:rFonts w:hint="eastAsia" w:ascii="宋体" w:hAnsi="宋体"/>
          <w:szCs w:val="21"/>
        </w:rPr>
        <w:t>供应商</w:t>
      </w:r>
      <w:r>
        <w:rPr>
          <w:rFonts w:ascii="宋体" w:hAnsi="宋体"/>
          <w:szCs w:val="21"/>
        </w:rPr>
        <w:t>放弃成交、因不可抗力提出不能履行合同，或者采购文件规定应当提交履约保证金</w:t>
      </w:r>
      <w:r>
        <w:rPr>
          <w:rFonts w:hint="eastAsia" w:ascii="宋体" w:hAnsi="宋体"/>
          <w:szCs w:val="21"/>
        </w:rPr>
        <w:t>（或质量保证金）</w:t>
      </w:r>
      <w:r>
        <w:rPr>
          <w:rFonts w:ascii="宋体" w:hAnsi="宋体"/>
          <w:szCs w:val="21"/>
        </w:rPr>
        <w:t>而在规定的期限内未能提交的，采购人可以确定排名第二的成交候选人为成交供应商</w:t>
      </w:r>
      <w:r>
        <w:rPr>
          <w:rFonts w:hint="eastAsia" w:ascii="宋体" w:hAnsi="宋体"/>
          <w:szCs w:val="21"/>
        </w:rPr>
        <w:t>，</w:t>
      </w:r>
      <w:r>
        <w:rPr>
          <w:rFonts w:ascii="宋体" w:hAnsi="宋体"/>
          <w:szCs w:val="21"/>
        </w:rPr>
        <w:t>也可以重新开展采购活动，以此类推</w:t>
      </w:r>
      <w:r>
        <w:rPr>
          <w:rFonts w:hint="eastAsia" w:ascii="宋体" w:hAnsi="宋体"/>
          <w:szCs w:val="21"/>
        </w:rPr>
        <w:t>。</w:t>
      </w:r>
      <w:r>
        <w:rPr>
          <w:rFonts w:ascii="宋体" w:hAnsi="宋体"/>
          <w:szCs w:val="21"/>
        </w:rPr>
        <w:t>拒绝签订政府采购合同的成交供应商不得参加对该项目重新开展的采购活动</w:t>
      </w:r>
      <w:r>
        <w:rPr>
          <w:rFonts w:hint="eastAsia" w:ascii="宋体" w:hAnsi="宋体"/>
          <w:szCs w:val="21"/>
        </w:rPr>
        <w:t>。</w:t>
      </w:r>
    </w:p>
    <w:p w14:paraId="0DBD1C06">
      <w:pPr>
        <w:spacing w:line="400" w:lineRule="exact"/>
        <w:ind w:firstLine="422" w:firstLineChars="200"/>
        <w:rPr>
          <w:rFonts w:ascii="宋体" w:hAnsi="宋体"/>
          <w:b/>
          <w:bCs/>
          <w:szCs w:val="21"/>
        </w:rPr>
      </w:pPr>
    </w:p>
    <w:p w14:paraId="75F9C144">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67E7C"/>
    <w:rsid w:val="2F74507C"/>
    <w:rsid w:val="3A33384F"/>
    <w:rsid w:val="799D2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basedOn w:val="1"/>
    <w:unhideWhenUsed/>
    <w:qFormat/>
    <w:uiPriority w:val="0"/>
    <w:pPr>
      <w:spacing w:after="120"/>
    </w:pPr>
  </w:style>
  <w:style w:type="paragraph" w:styleId="5">
    <w:name w:val="Plain Text"/>
    <w:basedOn w:val="1"/>
    <w:next w:val="2"/>
    <w:qFormat/>
    <w:uiPriority w:val="0"/>
    <w:rPr>
      <w:rFonts w:ascii="宋体" w:hAnsi="Courier New"/>
      <w:kern w:val="0"/>
      <w:sz w:val="20"/>
      <w:szCs w:val="21"/>
    </w:rPr>
  </w:style>
  <w:style w:type="paragraph" w:customStyle="1" w:styleId="8">
    <w:name w:val="表格文字"/>
    <w:basedOn w:val="1"/>
    <w:qFormat/>
    <w:uiPriority w:val="99"/>
    <w:pPr>
      <w:jc w:val="left"/>
    </w:pPr>
    <w:rPr>
      <w:bCs/>
      <w:spacing w:val="10"/>
      <w:sz w:val="24"/>
    </w:rPr>
  </w:style>
  <w:style w:type="paragraph" w:customStyle="1" w:styleId="9">
    <w:name w:val="发改1"/>
    <w:basedOn w:val="1"/>
    <w:uiPriority w:val="0"/>
    <w:pPr>
      <w:jc w:val="center"/>
    </w:pPr>
    <w:rPr>
      <w:rFonts w:ascii="宋体" w:hAnsi="宋体" w:eastAsia="黑体"/>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5223</Words>
  <Characters>5640</Characters>
  <Lines>0</Lines>
  <Paragraphs>0</Paragraphs>
  <TotalTime>4</TotalTime>
  <ScaleCrop>false</ScaleCrop>
  <LinksUpToDate>false</LinksUpToDate>
  <CharactersWithSpaces>5829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2025-04-22T08:01:00Z</dcterms:created>
  <dc:creator>LHL</dc:creator>
  <cp:lastModifiedBy>Lin</cp:lastModifiedBy>
  <dcterms:modified xsi:type="dcterms:W3CDTF">2025-04-23T00:35:28Z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eyJoZGlkIjoiYzI2NDFhMmEwOGFlZDUwNTAyM2E4ZGVhMGRmY2FhM2IiLCJ1c2VySWQiOiIyNjA2MTE0MjcifQ==</vt:lpwstr>
  </property>
  <property fmtid="{D5CDD505-2E9C-101B-9397-08002B2CF9AE}" pid="4" name="ICV">
    <vt:lpwstr>23DEDD50B5564A4AB1109CA7A64E084D_12</vt:lpwstr>
  </property>
</Properties>
</file>