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ascii="宋体" w:hAnsi="宋体"/>
          <w:b/>
          <w:sz w:val="28"/>
          <w:szCs w:val="28"/>
        </w:rPr>
      </w:pPr>
      <w:r>
        <w:rPr>
          <w:rFonts w:hint="eastAsia" w:ascii="宋体" w:hAnsi="宋体"/>
          <w:b/>
          <w:sz w:val="28"/>
          <w:szCs w:val="28"/>
        </w:rPr>
        <w:t>关于202</w:t>
      </w:r>
      <w:r>
        <w:rPr>
          <w:rFonts w:hint="eastAsia" w:ascii="宋体" w:hAnsi="宋体"/>
          <w:b/>
          <w:sz w:val="28"/>
          <w:szCs w:val="28"/>
          <w:lang w:val="en-US" w:eastAsia="zh-CN"/>
        </w:rPr>
        <w:t>5</w:t>
      </w:r>
      <w:r>
        <w:rPr>
          <w:rFonts w:hint="eastAsia" w:ascii="宋体" w:hAnsi="宋体"/>
          <w:b/>
          <w:sz w:val="28"/>
          <w:szCs w:val="28"/>
        </w:rPr>
        <w:t>年动物疫苗采购问卷调查表</w:t>
      </w:r>
    </w:p>
    <w:p w14:paraId="426574E3">
      <w:pPr>
        <w:spacing w:line="360" w:lineRule="auto"/>
        <w:rPr>
          <w:rFonts w:ascii="宋体" w:hAnsi="宋体"/>
        </w:rPr>
      </w:pPr>
    </w:p>
    <w:p w14:paraId="04677BD8">
      <w:pPr>
        <w:spacing w:line="360" w:lineRule="auto"/>
        <w:rPr>
          <w:rFonts w:ascii="宋体" w:hAnsi="宋体"/>
        </w:rPr>
      </w:pPr>
      <w:r>
        <w:rPr>
          <w:rFonts w:hint="eastAsia" w:ascii="宋体" w:hAnsi="宋体"/>
        </w:rPr>
        <w:t>参与调查供应商名称（单位盖章）：</w:t>
      </w:r>
    </w:p>
    <w:p w14:paraId="012C2C81">
      <w:pPr>
        <w:spacing w:line="360" w:lineRule="auto"/>
        <w:rPr>
          <w:rFonts w:ascii="宋体" w:hAnsi="宋体"/>
        </w:rPr>
      </w:pPr>
      <w:r>
        <w:rPr>
          <w:rFonts w:hint="eastAsia" w:ascii="宋体" w:hAnsi="宋体"/>
        </w:rPr>
        <w:t>联系人：</w:t>
      </w:r>
    </w:p>
    <w:p w14:paraId="64E9A98F">
      <w:pPr>
        <w:spacing w:line="360" w:lineRule="auto"/>
        <w:rPr>
          <w:rFonts w:ascii="宋体" w:hAnsi="宋体"/>
          <w:szCs w:val="21"/>
          <w:u w:val="single"/>
        </w:rPr>
      </w:pPr>
      <w:r>
        <w:rPr>
          <w:rFonts w:hint="eastAsia" w:ascii="宋体" w:hAnsi="宋体"/>
        </w:rPr>
        <w:t>联系电话：</w:t>
      </w:r>
    </w:p>
    <w:p w14:paraId="40820E34">
      <w:pPr>
        <w:spacing w:line="360" w:lineRule="auto"/>
        <w:rPr>
          <w:rFonts w:ascii="宋体" w:hAnsi="宋体"/>
          <w:szCs w:val="21"/>
        </w:rPr>
      </w:pPr>
      <w:r>
        <w:rPr>
          <w:rFonts w:hint="eastAsia" w:ascii="宋体" w:hAnsi="宋体"/>
        </w:rPr>
        <w:t xml:space="preserve">填表日期：      </w:t>
      </w:r>
      <w:r>
        <w:rPr>
          <w:rFonts w:hint="eastAsia" w:ascii="宋体" w:hAnsi="宋体"/>
          <w:szCs w:val="21"/>
        </w:rPr>
        <w:t>年    月    日</w:t>
      </w:r>
    </w:p>
    <w:p w14:paraId="61AF7374">
      <w:pPr>
        <w:spacing w:line="360" w:lineRule="auto"/>
        <w:ind w:firstLine="420" w:firstLineChars="200"/>
        <w:rPr>
          <w:rFonts w:ascii="宋体" w:hAnsi="宋体"/>
        </w:rPr>
      </w:pPr>
    </w:p>
    <w:p w14:paraId="463488B5">
      <w:pPr>
        <w:spacing w:line="360" w:lineRule="exact"/>
        <w:ind w:firstLine="420" w:firstLineChars="200"/>
        <w:rPr>
          <w:rFonts w:ascii="宋体" w:hAnsi="宋体"/>
        </w:rPr>
      </w:pPr>
      <w:r>
        <w:rPr>
          <w:rFonts w:hint="eastAsia" w:ascii="宋体" w:hAnsi="宋体"/>
        </w:rPr>
        <w:t>广西科文招标有限公司受广西壮族自治区动物疫病预防控制中心委托组织对《202</w:t>
      </w:r>
      <w:r>
        <w:rPr>
          <w:rFonts w:hint="eastAsia" w:ascii="宋体" w:hAnsi="宋体"/>
          <w:lang w:val="en-US" w:eastAsia="zh-CN"/>
        </w:rPr>
        <w:t>5</w:t>
      </w:r>
      <w:r>
        <w:rPr>
          <w:rFonts w:hint="eastAsia" w:ascii="宋体" w:hAnsi="宋体"/>
        </w:rPr>
        <w:t>年动物疫苗采购》采购需求及采购实施计划编制，现向各供应商进行本次问卷调查，调查内容如下：</w:t>
      </w:r>
    </w:p>
    <w:p w14:paraId="3F57B8BF">
      <w:pPr>
        <w:spacing w:line="360" w:lineRule="exact"/>
        <w:rPr>
          <w:rFonts w:ascii="宋体" w:hAnsi="宋体"/>
          <w:szCs w:val="21"/>
        </w:rPr>
      </w:pPr>
      <w:r>
        <w:rPr>
          <w:rFonts w:hint="eastAsia" w:ascii="宋体" w:hAnsi="宋体"/>
          <w:b/>
        </w:rPr>
        <w:t>1、参与本项目招标的意向：</w:t>
      </w:r>
      <w:r>
        <w:rPr>
          <w:rFonts w:hint="eastAsia" w:ascii="宋体" w:hAnsi="宋体"/>
          <w:szCs w:val="21"/>
        </w:rPr>
        <w:t>□想参加      □未定，理由：</w:t>
      </w:r>
    </w:p>
    <w:p w14:paraId="59191F4F">
      <w:pPr>
        <w:spacing w:line="360" w:lineRule="exact"/>
        <w:rPr>
          <w:rFonts w:ascii="宋体" w:hAnsi="宋体"/>
          <w:szCs w:val="21"/>
        </w:rPr>
      </w:pPr>
      <w:r>
        <w:rPr>
          <w:rFonts w:hint="eastAsia" w:ascii="宋体" w:hAnsi="宋体"/>
          <w:b/>
          <w:szCs w:val="21"/>
        </w:rPr>
        <w:t>2、标的预算是否合理：</w:t>
      </w:r>
      <w:r>
        <w:rPr>
          <w:rFonts w:hint="eastAsia" w:ascii="宋体" w:hAnsi="宋体"/>
          <w:szCs w:val="21"/>
        </w:rPr>
        <w:t>□是      □否（选填下表）</w:t>
      </w:r>
    </w:p>
    <w:tbl>
      <w:tblPr>
        <w:tblStyle w:val="7"/>
        <w:tblW w:w="9815" w:type="dxa"/>
        <w:jc w:val="center"/>
        <w:tblLayout w:type="fixed"/>
        <w:tblCellMar>
          <w:top w:w="0" w:type="dxa"/>
          <w:left w:w="108" w:type="dxa"/>
          <w:bottom w:w="0" w:type="dxa"/>
          <w:right w:w="108" w:type="dxa"/>
        </w:tblCellMar>
      </w:tblPr>
      <w:tblGrid>
        <w:gridCol w:w="599"/>
        <w:gridCol w:w="1582"/>
        <w:gridCol w:w="1391"/>
        <w:gridCol w:w="1103"/>
        <w:gridCol w:w="1701"/>
        <w:gridCol w:w="2552"/>
        <w:gridCol w:w="887"/>
      </w:tblGrid>
      <w:tr w14:paraId="0E203369">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ascii="宋体" w:hAnsi="宋体" w:cs="宋体"/>
                <w:kern w:val="0"/>
                <w:szCs w:val="21"/>
              </w:rPr>
            </w:pPr>
            <w:r>
              <w:rPr>
                <w:rFonts w:ascii="宋体" w:hAnsi="宋体" w:cs="宋体"/>
                <w:kern w:val="0"/>
                <w:szCs w:val="21"/>
              </w:rPr>
              <w:t>序号</w:t>
            </w:r>
          </w:p>
        </w:tc>
        <w:tc>
          <w:tcPr>
            <w:tcW w:w="1582"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ascii="宋体" w:hAnsi="宋体" w:cs="宋体"/>
                <w:kern w:val="0"/>
                <w:szCs w:val="21"/>
              </w:rPr>
            </w:pPr>
            <w:r>
              <w:rPr>
                <w:rFonts w:hint="eastAsia" w:ascii="宋体" w:hAnsi="宋体" w:cs="宋体"/>
                <w:kern w:val="0"/>
                <w:szCs w:val="21"/>
              </w:rPr>
              <w:t>标的</w:t>
            </w:r>
            <w:r>
              <w:rPr>
                <w:rFonts w:ascii="宋体" w:hAnsi="宋体" w:cs="宋体"/>
                <w:kern w:val="0"/>
                <w:szCs w:val="21"/>
              </w:rPr>
              <w:t>名称</w:t>
            </w:r>
          </w:p>
        </w:tc>
        <w:tc>
          <w:tcPr>
            <w:tcW w:w="1391"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ascii="宋体" w:hAnsi="宋体" w:cs="宋体"/>
                <w:kern w:val="0"/>
                <w:szCs w:val="21"/>
              </w:rPr>
            </w:pPr>
            <w:r>
              <w:rPr>
                <w:rFonts w:ascii="宋体" w:hAnsi="宋体" w:cs="宋体"/>
                <w:kern w:val="0"/>
                <w:szCs w:val="21"/>
              </w:rPr>
              <w:t>数量</w:t>
            </w:r>
          </w:p>
        </w:tc>
        <w:tc>
          <w:tcPr>
            <w:tcW w:w="1103"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ascii="宋体" w:hAnsi="宋体" w:cs="宋体"/>
                <w:kern w:val="0"/>
                <w:szCs w:val="21"/>
              </w:rPr>
            </w:pPr>
            <w:r>
              <w:rPr>
                <w:rFonts w:ascii="宋体" w:hAnsi="宋体" w:cs="宋体"/>
                <w:kern w:val="0"/>
                <w:szCs w:val="21"/>
              </w:rPr>
              <w:t>预算单价</w:t>
            </w:r>
          </w:p>
        </w:tc>
        <w:tc>
          <w:tcPr>
            <w:tcW w:w="1701" w:type="dxa"/>
            <w:tcBorders>
              <w:top w:val="single" w:color="000000" w:sz="4" w:space="0"/>
              <w:left w:val="single" w:color="auto" w:sz="4" w:space="0"/>
              <w:bottom w:val="single" w:color="000000" w:sz="4" w:space="0"/>
              <w:right w:val="single" w:color="000000" w:sz="4" w:space="0"/>
            </w:tcBorders>
            <w:noWrap/>
            <w:vAlign w:val="center"/>
          </w:tcPr>
          <w:p w14:paraId="50338CFB">
            <w:pPr>
              <w:spacing w:line="360" w:lineRule="exact"/>
              <w:jc w:val="center"/>
              <w:textAlignment w:val="center"/>
              <w:rPr>
                <w:rFonts w:ascii="宋体" w:hAnsi="宋体" w:cs="宋体"/>
                <w:kern w:val="0"/>
                <w:szCs w:val="21"/>
              </w:rPr>
            </w:pPr>
            <w:r>
              <w:rPr>
                <w:rFonts w:hint="eastAsia" w:ascii="宋体" w:hAnsi="宋体" w:cs="宋体"/>
                <w:kern w:val="0"/>
                <w:szCs w:val="21"/>
              </w:rPr>
              <w:t>认为合理的价格（供应商选填）</w:t>
            </w:r>
          </w:p>
        </w:tc>
        <w:tc>
          <w:tcPr>
            <w:tcW w:w="2552"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ascii="宋体" w:hAnsi="宋体" w:cs="宋体"/>
                <w:kern w:val="0"/>
                <w:szCs w:val="21"/>
              </w:rPr>
            </w:pPr>
            <w:r>
              <w:rPr>
                <w:rFonts w:ascii="宋体" w:hAnsi="宋体" w:cs="宋体"/>
                <w:kern w:val="0"/>
                <w:szCs w:val="21"/>
              </w:rPr>
              <w:t>认为预算不合理的理由</w:t>
            </w:r>
            <w:r>
              <w:rPr>
                <w:rFonts w:hint="eastAsia" w:ascii="宋体" w:hAnsi="宋体" w:cs="宋体"/>
                <w:kern w:val="0"/>
                <w:szCs w:val="21"/>
              </w:rPr>
              <w:t>（供应商选填）</w:t>
            </w:r>
          </w:p>
        </w:tc>
        <w:tc>
          <w:tcPr>
            <w:tcW w:w="887"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ascii="宋体" w:hAnsi="宋体" w:cs="宋体"/>
                <w:kern w:val="0"/>
                <w:szCs w:val="21"/>
              </w:rPr>
            </w:pPr>
            <w:r>
              <w:rPr>
                <w:rFonts w:ascii="宋体" w:hAnsi="宋体" w:cs="宋体"/>
                <w:kern w:val="0"/>
                <w:szCs w:val="21"/>
              </w:rPr>
              <w:t>备注</w:t>
            </w:r>
          </w:p>
        </w:tc>
      </w:tr>
      <w:tr w14:paraId="3C8C0F14">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24420EC">
            <w:pPr>
              <w:spacing w:line="360" w:lineRule="exact"/>
              <w:jc w:val="center"/>
              <w:textAlignment w:val="center"/>
              <w:rPr>
                <w:rFonts w:ascii="宋体" w:hAnsi="宋体" w:cs="宋体"/>
                <w:kern w:val="0"/>
                <w:szCs w:val="21"/>
              </w:rPr>
            </w:pPr>
            <w:r>
              <w:rPr>
                <w:rFonts w:hint="eastAsia" w:ascii="宋体" w:hAnsi="宋体" w:cs="宋体"/>
                <w:kern w:val="0"/>
                <w:szCs w:val="21"/>
              </w:rPr>
              <w:t>1-1</w:t>
            </w:r>
          </w:p>
        </w:tc>
        <w:tc>
          <w:tcPr>
            <w:tcW w:w="1582" w:type="dxa"/>
            <w:vMerge w:val="restart"/>
            <w:tcBorders>
              <w:top w:val="single" w:color="000000" w:sz="4" w:space="0"/>
              <w:left w:val="single" w:color="000000" w:sz="4" w:space="0"/>
              <w:right w:val="single" w:color="auto" w:sz="4" w:space="0"/>
            </w:tcBorders>
            <w:noWrap/>
            <w:vAlign w:val="center"/>
          </w:tcPr>
          <w:p w14:paraId="47463FBA">
            <w:pPr>
              <w:jc w:val="center"/>
              <w:rPr>
                <w:rFonts w:ascii="宋体" w:hAnsi="宋体" w:cs="宋体"/>
                <w:szCs w:val="21"/>
              </w:rPr>
            </w:pPr>
            <w:r>
              <w:rPr>
                <w:rFonts w:hint="eastAsia" w:ascii="宋体" w:hAnsi="宋体" w:cs="宋体"/>
                <w:szCs w:val="21"/>
              </w:rPr>
              <w:t>重组禽流感病毒（H5+H7）三价灭活疫苗（H5N6 H5Re-13株+ H5N8 H5Re-14 株， H7N9 H7-Re4株）</w:t>
            </w:r>
          </w:p>
        </w:tc>
        <w:tc>
          <w:tcPr>
            <w:tcW w:w="1391" w:type="dxa"/>
            <w:tcBorders>
              <w:top w:val="single" w:color="000000" w:sz="4" w:space="0"/>
              <w:left w:val="single" w:color="auto" w:sz="4" w:space="0"/>
              <w:bottom w:val="single" w:color="000000" w:sz="4" w:space="0"/>
              <w:right w:val="single" w:color="auto" w:sz="4" w:space="0"/>
            </w:tcBorders>
            <w:vAlign w:val="center"/>
          </w:tcPr>
          <w:p w14:paraId="4537C823">
            <w:pPr>
              <w:jc w:val="center"/>
              <w:rPr>
                <w:rFonts w:ascii="仿宋" w:hAnsi="仿宋" w:eastAsia="仿宋" w:cs="宋体"/>
                <w:sz w:val="22"/>
              </w:rPr>
            </w:pPr>
            <w:r>
              <w:rPr>
                <w:rFonts w:hint="eastAsia" w:ascii="仿宋" w:hAnsi="仿宋" w:eastAsia="仿宋" w:cs="宋体"/>
                <w:sz w:val="22"/>
              </w:rPr>
              <w:t>4154</w:t>
            </w:r>
          </w:p>
        </w:tc>
        <w:tc>
          <w:tcPr>
            <w:tcW w:w="1103" w:type="dxa"/>
            <w:vMerge w:val="restart"/>
            <w:tcBorders>
              <w:top w:val="single" w:color="000000" w:sz="4" w:space="0"/>
              <w:left w:val="single" w:color="auto" w:sz="4" w:space="0"/>
              <w:right w:val="single" w:color="auto" w:sz="4" w:space="0"/>
            </w:tcBorders>
            <w:noWrap/>
            <w:vAlign w:val="center"/>
          </w:tcPr>
          <w:p w14:paraId="33F6346B">
            <w:pPr>
              <w:jc w:val="center"/>
              <w:rPr>
                <w:rFonts w:ascii="宋体" w:hAnsi="宋体" w:cs="宋体"/>
                <w:szCs w:val="21"/>
              </w:rPr>
            </w:pPr>
            <w:r>
              <w:rPr>
                <w:rFonts w:hint="eastAsia" w:ascii="宋体" w:hAnsi="宋体" w:cs="宋体"/>
                <w:szCs w:val="21"/>
              </w:rPr>
              <w:t>25</w:t>
            </w:r>
            <w:r>
              <w:rPr>
                <w:rFonts w:hint="eastAsia" w:ascii="宋体" w:hAnsi="宋体" w:cs="宋体"/>
                <w:szCs w:val="21"/>
                <w:lang w:val="en-US" w:eastAsia="zh-CN"/>
              </w:rPr>
              <w:t>00</w:t>
            </w:r>
            <w:r>
              <w:rPr>
                <w:rFonts w:hint="eastAsia" w:ascii="宋体" w:hAnsi="宋体" w:cs="宋体"/>
                <w:szCs w:val="21"/>
              </w:rPr>
              <w:t>元/万毫升</w:t>
            </w:r>
          </w:p>
        </w:tc>
        <w:tc>
          <w:tcPr>
            <w:tcW w:w="1701" w:type="dxa"/>
            <w:vMerge w:val="restart"/>
            <w:tcBorders>
              <w:top w:val="single" w:color="000000" w:sz="4" w:space="0"/>
              <w:left w:val="single" w:color="auto" w:sz="4" w:space="0"/>
              <w:right w:val="single" w:color="000000" w:sz="4" w:space="0"/>
            </w:tcBorders>
            <w:noWrap/>
            <w:vAlign w:val="center"/>
          </w:tcPr>
          <w:p w14:paraId="4233FC74">
            <w:pPr>
              <w:jc w:val="center"/>
              <w:rPr>
                <w:rFonts w:ascii="宋体" w:hAnsi="宋体" w:cs="宋体"/>
                <w:szCs w:val="21"/>
              </w:rPr>
            </w:pPr>
          </w:p>
        </w:tc>
        <w:tc>
          <w:tcPr>
            <w:tcW w:w="2552" w:type="dxa"/>
            <w:vMerge w:val="restart"/>
            <w:tcBorders>
              <w:top w:val="single" w:color="000000" w:sz="4" w:space="0"/>
              <w:left w:val="single" w:color="000000" w:sz="4" w:space="0"/>
              <w:right w:val="single" w:color="auto" w:sz="4" w:space="0"/>
            </w:tcBorders>
            <w:noWrap/>
            <w:vAlign w:val="center"/>
          </w:tcPr>
          <w:p w14:paraId="6F099925">
            <w:pPr>
              <w:jc w:val="center"/>
              <w:rPr>
                <w:rFonts w:ascii="宋体" w:hAnsi="宋体" w:cs="宋体"/>
                <w:szCs w:val="21"/>
              </w:rPr>
            </w:pPr>
          </w:p>
        </w:tc>
        <w:tc>
          <w:tcPr>
            <w:tcW w:w="887" w:type="dxa"/>
            <w:vMerge w:val="restart"/>
            <w:tcBorders>
              <w:top w:val="single" w:color="000000" w:sz="4" w:space="0"/>
              <w:left w:val="single" w:color="auto" w:sz="4" w:space="0"/>
              <w:right w:val="single" w:color="000000" w:sz="4" w:space="0"/>
            </w:tcBorders>
            <w:noWrap/>
            <w:vAlign w:val="center"/>
          </w:tcPr>
          <w:p w14:paraId="6674FEA6">
            <w:pPr>
              <w:spacing w:line="360" w:lineRule="exact"/>
              <w:jc w:val="center"/>
              <w:textAlignment w:val="center"/>
              <w:rPr>
                <w:rFonts w:ascii="宋体" w:hAnsi="宋体" w:cs="宋体"/>
                <w:kern w:val="0"/>
                <w:szCs w:val="21"/>
              </w:rPr>
            </w:pPr>
          </w:p>
        </w:tc>
      </w:tr>
      <w:tr w14:paraId="37013DE9">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4CC1253D">
            <w:pPr>
              <w:spacing w:line="360" w:lineRule="exact"/>
              <w:jc w:val="center"/>
              <w:textAlignment w:val="center"/>
              <w:rPr>
                <w:rFonts w:ascii="宋体" w:hAnsi="宋体" w:cs="宋体"/>
                <w:kern w:val="0"/>
                <w:szCs w:val="21"/>
              </w:rPr>
            </w:pPr>
            <w:r>
              <w:rPr>
                <w:rFonts w:hint="eastAsia" w:ascii="宋体" w:hAnsi="宋体" w:cs="宋体"/>
                <w:kern w:val="0"/>
                <w:szCs w:val="21"/>
              </w:rPr>
              <w:t>1-2</w:t>
            </w:r>
          </w:p>
        </w:tc>
        <w:tc>
          <w:tcPr>
            <w:tcW w:w="1582" w:type="dxa"/>
            <w:vMerge w:val="continue"/>
            <w:tcBorders>
              <w:left w:val="single" w:color="000000" w:sz="4" w:space="0"/>
              <w:right w:val="single" w:color="auto" w:sz="4" w:space="0"/>
            </w:tcBorders>
            <w:noWrap/>
            <w:vAlign w:val="center"/>
          </w:tcPr>
          <w:p w14:paraId="3AF76866">
            <w:pPr>
              <w:jc w:val="center"/>
              <w:rPr>
                <w:rFonts w:ascii="宋体" w:hAnsi="宋体" w:cs="宋体"/>
                <w:szCs w:val="21"/>
              </w:rPr>
            </w:pPr>
          </w:p>
        </w:tc>
        <w:tc>
          <w:tcPr>
            <w:tcW w:w="1391" w:type="dxa"/>
            <w:tcBorders>
              <w:top w:val="single" w:color="000000" w:sz="4" w:space="0"/>
              <w:left w:val="single" w:color="auto" w:sz="4" w:space="0"/>
              <w:bottom w:val="single" w:color="000000" w:sz="4" w:space="0"/>
              <w:right w:val="single" w:color="auto" w:sz="4" w:space="0"/>
            </w:tcBorders>
            <w:vAlign w:val="center"/>
          </w:tcPr>
          <w:p w14:paraId="19D12F19">
            <w:pPr>
              <w:jc w:val="center"/>
              <w:rPr>
                <w:rFonts w:ascii="仿宋" w:hAnsi="仿宋" w:eastAsia="仿宋" w:cs="宋体"/>
                <w:sz w:val="22"/>
              </w:rPr>
            </w:pPr>
            <w:r>
              <w:rPr>
                <w:rFonts w:hint="eastAsia" w:ascii="仿宋" w:hAnsi="仿宋" w:eastAsia="仿宋" w:cs="宋体"/>
                <w:sz w:val="22"/>
              </w:rPr>
              <w:t>3900</w:t>
            </w:r>
          </w:p>
        </w:tc>
        <w:tc>
          <w:tcPr>
            <w:tcW w:w="1103" w:type="dxa"/>
            <w:vMerge w:val="continue"/>
            <w:tcBorders>
              <w:left w:val="single" w:color="auto" w:sz="4" w:space="0"/>
              <w:right w:val="single" w:color="auto" w:sz="4" w:space="0"/>
            </w:tcBorders>
            <w:noWrap/>
            <w:vAlign w:val="center"/>
          </w:tcPr>
          <w:p w14:paraId="25BE6212">
            <w:pPr>
              <w:jc w:val="center"/>
              <w:rPr>
                <w:rFonts w:ascii="宋体" w:hAnsi="宋体" w:cs="宋体"/>
                <w:szCs w:val="21"/>
              </w:rPr>
            </w:pPr>
          </w:p>
        </w:tc>
        <w:tc>
          <w:tcPr>
            <w:tcW w:w="1701" w:type="dxa"/>
            <w:vMerge w:val="continue"/>
            <w:tcBorders>
              <w:left w:val="single" w:color="auto" w:sz="4" w:space="0"/>
              <w:right w:val="single" w:color="000000" w:sz="4" w:space="0"/>
            </w:tcBorders>
            <w:noWrap/>
            <w:vAlign w:val="center"/>
          </w:tcPr>
          <w:p w14:paraId="0E62007C">
            <w:pPr>
              <w:jc w:val="center"/>
              <w:rPr>
                <w:rFonts w:ascii="宋体" w:hAnsi="宋体" w:cs="宋体"/>
                <w:szCs w:val="21"/>
              </w:rPr>
            </w:pPr>
          </w:p>
        </w:tc>
        <w:tc>
          <w:tcPr>
            <w:tcW w:w="2552" w:type="dxa"/>
            <w:vMerge w:val="continue"/>
            <w:tcBorders>
              <w:left w:val="single" w:color="000000" w:sz="4" w:space="0"/>
              <w:right w:val="single" w:color="auto" w:sz="4" w:space="0"/>
            </w:tcBorders>
            <w:noWrap/>
            <w:vAlign w:val="center"/>
          </w:tcPr>
          <w:p w14:paraId="069A3BF9">
            <w:pPr>
              <w:jc w:val="center"/>
              <w:rPr>
                <w:rFonts w:ascii="宋体" w:hAnsi="宋体" w:cs="宋体"/>
                <w:szCs w:val="21"/>
              </w:rPr>
            </w:pPr>
          </w:p>
        </w:tc>
        <w:tc>
          <w:tcPr>
            <w:tcW w:w="887" w:type="dxa"/>
            <w:vMerge w:val="continue"/>
            <w:tcBorders>
              <w:left w:val="single" w:color="auto" w:sz="4" w:space="0"/>
              <w:right w:val="single" w:color="000000" w:sz="4" w:space="0"/>
            </w:tcBorders>
            <w:noWrap/>
            <w:vAlign w:val="center"/>
          </w:tcPr>
          <w:p w14:paraId="2C10593C">
            <w:pPr>
              <w:spacing w:line="360" w:lineRule="exact"/>
              <w:jc w:val="center"/>
              <w:textAlignment w:val="center"/>
              <w:rPr>
                <w:rFonts w:ascii="宋体" w:hAnsi="宋体" w:cs="宋体"/>
                <w:kern w:val="0"/>
                <w:szCs w:val="21"/>
              </w:rPr>
            </w:pPr>
          </w:p>
        </w:tc>
      </w:tr>
      <w:tr w14:paraId="33014CD3">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42E63126">
            <w:pPr>
              <w:spacing w:line="360" w:lineRule="exact"/>
              <w:jc w:val="center"/>
              <w:textAlignment w:val="center"/>
              <w:rPr>
                <w:rFonts w:ascii="宋体" w:hAnsi="宋体" w:cs="宋体"/>
                <w:kern w:val="0"/>
                <w:szCs w:val="21"/>
              </w:rPr>
            </w:pPr>
            <w:r>
              <w:rPr>
                <w:rFonts w:hint="eastAsia" w:ascii="宋体" w:hAnsi="宋体" w:cs="宋体"/>
                <w:kern w:val="0"/>
                <w:szCs w:val="21"/>
              </w:rPr>
              <w:t>1-3</w:t>
            </w:r>
          </w:p>
        </w:tc>
        <w:tc>
          <w:tcPr>
            <w:tcW w:w="1582" w:type="dxa"/>
            <w:vMerge w:val="continue"/>
            <w:tcBorders>
              <w:left w:val="single" w:color="000000" w:sz="4" w:space="0"/>
              <w:right w:val="single" w:color="auto" w:sz="4" w:space="0"/>
            </w:tcBorders>
            <w:noWrap/>
            <w:vAlign w:val="center"/>
          </w:tcPr>
          <w:p w14:paraId="7EC55F06">
            <w:pPr>
              <w:jc w:val="center"/>
              <w:rPr>
                <w:rFonts w:ascii="宋体" w:hAnsi="宋体" w:cs="宋体"/>
                <w:szCs w:val="21"/>
              </w:rPr>
            </w:pPr>
          </w:p>
        </w:tc>
        <w:tc>
          <w:tcPr>
            <w:tcW w:w="1391" w:type="dxa"/>
            <w:tcBorders>
              <w:top w:val="single" w:color="000000" w:sz="4" w:space="0"/>
              <w:left w:val="single" w:color="auto" w:sz="4" w:space="0"/>
              <w:bottom w:val="single" w:color="000000" w:sz="4" w:space="0"/>
              <w:right w:val="single" w:color="auto" w:sz="4" w:space="0"/>
            </w:tcBorders>
            <w:vAlign w:val="center"/>
          </w:tcPr>
          <w:p w14:paraId="7FE9F4B1">
            <w:pPr>
              <w:jc w:val="center"/>
              <w:rPr>
                <w:rFonts w:ascii="仿宋" w:hAnsi="仿宋" w:eastAsia="仿宋" w:cs="宋体"/>
                <w:sz w:val="22"/>
              </w:rPr>
            </w:pPr>
            <w:r>
              <w:rPr>
                <w:rFonts w:hint="eastAsia" w:ascii="仿宋" w:hAnsi="仿宋" w:eastAsia="仿宋" w:cs="宋体"/>
                <w:sz w:val="22"/>
              </w:rPr>
              <w:t>3576</w:t>
            </w:r>
          </w:p>
        </w:tc>
        <w:tc>
          <w:tcPr>
            <w:tcW w:w="1103" w:type="dxa"/>
            <w:vMerge w:val="continue"/>
            <w:tcBorders>
              <w:left w:val="single" w:color="auto" w:sz="4" w:space="0"/>
              <w:right w:val="single" w:color="auto" w:sz="4" w:space="0"/>
            </w:tcBorders>
            <w:noWrap/>
            <w:vAlign w:val="center"/>
          </w:tcPr>
          <w:p w14:paraId="53CD33A0">
            <w:pPr>
              <w:jc w:val="center"/>
              <w:rPr>
                <w:rFonts w:ascii="宋体" w:hAnsi="宋体" w:cs="宋体"/>
                <w:szCs w:val="21"/>
              </w:rPr>
            </w:pPr>
          </w:p>
        </w:tc>
        <w:tc>
          <w:tcPr>
            <w:tcW w:w="1701" w:type="dxa"/>
            <w:vMerge w:val="continue"/>
            <w:tcBorders>
              <w:left w:val="single" w:color="auto" w:sz="4" w:space="0"/>
              <w:right w:val="single" w:color="000000" w:sz="4" w:space="0"/>
            </w:tcBorders>
            <w:noWrap/>
            <w:vAlign w:val="center"/>
          </w:tcPr>
          <w:p w14:paraId="3E1B4241">
            <w:pPr>
              <w:jc w:val="center"/>
              <w:rPr>
                <w:rFonts w:ascii="宋体" w:hAnsi="宋体" w:cs="宋体"/>
                <w:szCs w:val="21"/>
              </w:rPr>
            </w:pPr>
          </w:p>
        </w:tc>
        <w:tc>
          <w:tcPr>
            <w:tcW w:w="2552" w:type="dxa"/>
            <w:vMerge w:val="continue"/>
            <w:tcBorders>
              <w:left w:val="single" w:color="000000" w:sz="4" w:space="0"/>
              <w:right w:val="single" w:color="auto" w:sz="4" w:space="0"/>
            </w:tcBorders>
            <w:noWrap/>
            <w:vAlign w:val="center"/>
          </w:tcPr>
          <w:p w14:paraId="5B1B1E6B">
            <w:pPr>
              <w:jc w:val="center"/>
              <w:rPr>
                <w:rFonts w:ascii="宋体" w:hAnsi="宋体" w:cs="宋体"/>
                <w:szCs w:val="21"/>
              </w:rPr>
            </w:pPr>
          </w:p>
        </w:tc>
        <w:tc>
          <w:tcPr>
            <w:tcW w:w="887" w:type="dxa"/>
            <w:vMerge w:val="continue"/>
            <w:tcBorders>
              <w:left w:val="single" w:color="auto" w:sz="4" w:space="0"/>
              <w:right w:val="single" w:color="000000" w:sz="4" w:space="0"/>
            </w:tcBorders>
            <w:noWrap/>
            <w:vAlign w:val="center"/>
          </w:tcPr>
          <w:p w14:paraId="4B2D5A24">
            <w:pPr>
              <w:spacing w:line="360" w:lineRule="exact"/>
              <w:jc w:val="center"/>
              <w:textAlignment w:val="center"/>
              <w:rPr>
                <w:rFonts w:ascii="宋体" w:hAnsi="宋体" w:cs="宋体"/>
                <w:kern w:val="0"/>
                <w:szCs w:val="21"/>
              </w:rPr>
            </w:pPr>
          </w:p>
        </w:tc>
      </w:tr>
      <w:tr w14:paraId="204FE947">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9721413">
            <w:pPr>
              <w:spacing w:line="360" w:lineRule="exact"/>
              <w:jc w:val="center"/>
              <w:textAlignment w:val="center"/>
              <w:rPr>
                <w:rFonts w:ascii="宋体" w:hAnsi="宋体" w:cs="宋体"/>
                <w:kern w:val="0"/>
                <w:szCs w:val="21"/>
              </w:rPr>
            </w:pPr>
            <w:r>
              <w:rPr>
                <w:rFonts w:hint="eastAsia" w:ascii="宋体" w:hAnsi="宋体" w:cs="宋体"/>
                <w:kern w:val="0"/>
                <w:szCs w:val="21"/>
              </w:rPr>
              <w:t>1-4</w:t>
            </w:r>
          </w:p>
        </w:tc>
        <w:tc>
          <w:tcPr>
            <w:tcW w:w="1582" w:type="dxa"/>
            <w:vMerge w:val="continue"/>
            <w:tcBorders>
              <w:left w:val="single" w:color="000000" w:sz="4" w:space="0"/>
              <w:right w:val="single" w:color="auto" w:sz="4" w:space="0"/>
            </w:tcBorders>
            <w:noWrap/>
            <w:vAlign w:val="center"/>
          </w:tcPr>
          <w:p w14:paraId="4AA13978">
            <w:pPr>
              <w:jc w:val="center"/>
              <w:rPr>
                <w:rFonts w:ascii="宋体" w:hAnsi="宋体" w:cs="宋体"/>
                <w:szCs w:val="21"/>
              </w:rPr>
            </w:pPr>
          </w:p>
        </w:tc>
        <w:tc>
          <w:tcPr>
            <w:tcW w:w="1391" w:type="dxa"/>
            <w:tcBorders>
              <w:top w:val="single" w:color="000000" w:sz="4" w:space="0"/>
              <w:left w:val="single" w:color="auto" w:sz="4" w:space="0"/>
              <w:bottom w:val="single" w:color="000000" w:sz="4" w:space="0"/>
              <w:right w:val="single" w:color="auto" w:sz="4" w:space="0"/>
            </w:tcBorders>
            <w:vAlign w:val="center"/>
          </w:tcPr>
          <w:p w14:paraId="3ED67630">
            <w:pPr>
              <w:jc w:val="center"/>
              <w:rPr>
                <w:rFonts w:ascii="仿宋" w:hAnsi="仿宋" w:eastAsia="仿宋" w:cs="宋体"/>
                <w:sz w:val="22"/>
              </w:rPr>
            </w:pPr>
            <w:r>
              <w:rPr>
                <w:rFonts w:hint="eastAsia" w:ascii="仿宋" w:hAnsi="仿宋" w:eastAsia="仿宋" w:cs="宋体"/>
                <w:sz w:val="22"/>
              </w:rPr>
              <w:t>3200</w:t>
            </w:r>
          </w:p>
        </w:tc>
        <w:tc>
          <w:tcPr>
            <w:tcW w:w="1103" w:type="dxa"/>
            <w:vMerge w:val="continue"/>
            <w:tcBorders>
              <w:left w:val="single" w:color="auto" w:sz="4" w:space="0"/>
              <w:right w:val="single" w:color="auto" w:sz="4" w:space="0"/>
            </w:tcBorders>
            <w:noWrap/>
            <w:vAlign w:val="center"/>
          </w:tcPr>
          <w:p w14:paraId="19A7C87F">
            <w:pPr>
              <w:jc w:val="center"/>
              <w:rPr>
                <w:rFonts w:ascii="宋体" w:hAnsi="宋体" w:cs="宋体"/>
                <w:szCs w:val="21"/>
              </w:rPr>
            </w:pPr>
          </w:p>
        </w:tc>
        <w:tc>
          <w:tcPr>
            <w:tcW w:w="1701" w:type="dxa"/>
            <w:vMerge w:val="continue"/>
            <w:tcBorders>
              <w:left w:val="single" w:color="auto" w:sz="4" w:space="0"/>
              <w:right w:val="single" w:color="000000" w:sz="4" w:space="0"/>
            </w:tcBorders>
            <w:noWrap/>
            <w:vAlign w:val="center"/>
          </w:tcPr>
          <w:p w14:paraId="689F1A4B">
            <w:pPr>
              <w:jc w:val="center"/>
              <w:rPr>
                <w:rFonts w:ascii="宋体" w:hAnsi="宋体" w:cs="宋体"/>
                <w:szCs w:val="21"/>
              </w:rPr>
            </w:pPr>
          </w:p>
        </w:tc>
        <w:tc>
          <w:tcPr>
            <w:tcW w:w="2552" w:type="dxa"/>
            <w:vMerge w:val="continue"/>
            <w:tcBorders>
              <w:left w:val="single" w:color="000000" w:sz="4" w:space="0"/>
              <w:right w:val="single" w:color="auto" w:sz="4" w:space="0"/>
            </w:tcBorders>
            <w:noWrap/>
            <w:vAlign w:val="center"/>
          </w:tcPr>
          <w:p w14:paraId="14A94785">
            <w:pPr>
              <w:jc w:val="center"/>
              <w:rPr>
                <w:rFonts w:ascii="宋体" w:hAnsi="宋体" w:cs="宋体"/>
                <w:szCs w:val="21"/>
              </w:rPr>
            </w:pPr>
          </w:p>
        </w:tc>
        <w:tc>
          <w:tcPr>
            <w:tcW w:w="887" w:type="dxa"/>
            <w:vMerge w:val="continue"/>
            <w:tcBorders>
              <w:left w:val="single" w:color="auto" w:sz="4" w:space="0"/>
              <w:right w:val="single" w:color="000000" w:sz="4" w:space="0"/>
            </w:tcBorders>
            <w:noWrap/>
            <w:vAlign w:val="center"/>
          </w:tcPr>
          <w:p w14:paraId="7854BAB2">
            <w:pPr>
              <w:spacing w:line="360" w:lineRule="exact"/>
              <w:jc w:val="center"/>
              <w:textAlignment w:val="center"/>
              <w:rPr>
                <w:rFonts w:ascii="宋体" w:hAnsi="宋体" w:cs="宋体"/>
                <w:kern w:val="0"/>
                <w:szCs w:val="21"/>
              </w:rPr>
            </w:pPr>
          </w:p>
        </w:tc>
      </w:tr>
      <w:tr w14:paraId="345842CC">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2AC52AB1">
            <w:pPr>
              <w:spacing w:line="360" w:lineRule="exact"/>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1582" w:type="dxa"/>
            <w:vMerge w:val="continue"/>
            <w:tcBorders>
              <w:left w:val="single" w:color="000000" w:sz="4" w:space="0"/>
              <w:right w:val="single" w:color="auto" w:sz="4" w:space="0"/>
            </w:tcBorders>
            <w:noWrap/>
            <w:vAlign w:val="center"/>
          </w:tcPr>
          <w:p w14:paraId="544CF011">
            <w:pPr>
              <w:jc w:val="center"/>
              <w:rPr>
                <w:rFonts w:ascii="宋体" w:hAnsi="宋体" w:cs="宋体"/>
                <w:szCs w:val="21"/>
              </w:rPr>
            </w:pPr>
          </w:p>
        </w:tc>
        <w:tc>
          <w:tcPr>
            <w:tcW w:w="1391" w:type="dxa"/>
            <w:tcBorders>
              <w:top w:val="single" w:color="000000" w:sz="4" w:space="0"/>
              <w:left w:val="single" w:color="auto" w:sz="4" w:space="0"/>
              <w:bottom w:val="single" w:color="000000" w:sz="4" w:space="0"/>
              <w:right w:val="single" w:color="auto" w:sz="4" w:space="0"/>
            </w:tcBorders>
            <w:vAlign w:val="center"/>
          </w:tcPr>
          <w:p w14:paraId="09E4D2AA">
            <w:pPr>
              <w:jc w:val="center"/>
              <w:rPr>
                <w:rFonts w:ascii="仿宋" w:hAnsi="仿宋" w:eastAsia="仿宋" w:cs="宋体"/>
                <w:sz w:val="22"/>
              </w:rPr>
            </w:pPr>
            <w:r>
              <w:rPr>
                <w:rFonts w:hint="eastAsia" w:ascii="仿宋" w:hAnsi="仿宋" w:eastAsia="仿宋" w:cs="宋体"/>
                <w:sz w:val="22"/>
              </w:rPr>
              <w:t>2900</w:t>
            </w:r>
          </w:p>
        </w:tc>
        <w:tc>
          <w:tcPr>
            <w:tcW w:w="1103" w:type="dxa"/>
            <w:vMerge w:val="continue"/>
            <w:tcBorders>
              <w:left w:val="single" w:color="auto" w:sz="4" w:space="0"/>
              <w:right w:val="single" w:color="auto" w:sz="4" w:space="0"/>
            </w:tcBorders>
            <w:noWrap/>
            <w:vAlign w:val="center"/>
          </w:tcPr>
          <w:p w14:paraId="7C216A99">
            <w:pPr>
              <w:jc w:val="center"/>
              <w:rPr>
                <w:rFonts w:ascii="宋体" w:hAnsi="宋体" w:cs="宋体"/>
                <w:szCs w:val="21"/>
              </w:rPr>
            </w:pPr>
          </w:p>
        </w:tc>
        <w:tc>
          <w:tcPr>
            <w:tcW w:w="1701" w:type="dxa"/>
            <w:vMerge w:val="continue"/>
            <w:tcBorders>
              <w:left w:val="single" w:color="auto" w:sz="4" w:space="0"/>
              <w:right w:val="single" w:color="000000" w:sz="4" w:space="0"/>
            </w:tcBorders>
            <w:noWrap/>
            <w:vAlign w:val="center"/>
          </w:tcPr>
          <w:p w14:paraId="56E4BE41">
            <w:pPr>
              <w:jc w:val="center"/>
              <w:rPr>
                <w:rFonts w:ascii="宋体" w:hAnsi="宋体" w:cs="宋体"/>
                <w:szCs w:val="21"/>
              </w:rPr>
            </w:pPr>
          </w:p>
        </w:tc>
        <w:tc>
          <w:tcPr>
            <w:tcW w:w="2552" w:type="dxa"/>
            <w:vMerge w:val="continue"/>
            <w:tcBorders>
              <w:left w:val="single" w:color="000000" w:sz="4" w:space="0"/>
              <w:right w:val="single" w:color="auto" w:sz="4" w:space="0"/>
            </w:tcBorders>
            <w:noWrap/>
            <w:vAlign w:val="center"/>
          </w:tcPr>
          <w:p w14:paraId="7731D558">
            <w:pPr>
              <w:jc w:val="center"/>
              <w:rPr>
                <w:rFonts w:ascii="宋体" w:hAnsi="宋体" w:cs="宋体"/>
                <w:szCs w:val="21"/>
              </w:rPr>
            </w:pPr>
          </w:p>
        </w:tc>
        <w:tc>
          <w:tcPr>
            <w:tcW w:w="887" w:type="dxa"/>
            <w:vMerge w:val="continue"/>
            <w:tcBorders>
              <w:left w:val="single" w:color="auto" w:sz="4" w:space="0"/>
              <w:right w:val="single" w:color="000000" w:sz="4" w:space="0"/>
            </w:tcBorders>
            <w:noWrap/>
            <w:vAlign w:val="center"/>
          </w:tcPr>
          <w:p w14:paraId="7AA1D01A">
            <w:pPr>
              <w:spacing w:line="360" w:lineRule="exact"/>
              <w:jc w:val="center"/>
              <w:textAlignment w:val="center"/>
              <w:rPr>
                <w:rFonts w:ascii="宋体" w:hAnsi="宋体" w:cs="宋体"/>
                <w:kern w:val="0"/>
                <w:szCs w:val="21"/>
              </w:rPr>
            </w:pPr>
          </w:p>
        </w:tc>
      </w:tr>
      <w:tr w14:paraId="49D1EF6E">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0082DF2B">
            <w:pPr>
              <w:spacing w:line="360" w:lineRule="exact"/>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1582" w:type="dxa"/>
            <w:vMerge w:val="continue"/>
            <w:tcBorders>
              <w:left w:val="single" w:color="000000" w:sz="4" w:space="0"/>
              <w:right w:val="single" w:color="auto" w:sz="4" w:space="0"/>
            </w:tcBorders>
            <w:noWrap/>
            <w:vAlign w:val="center"/>
          </w:tcPr>
          <w:p w14:paraId="1F3E91E9">
            <w:pPr>
              <w:jc w:val="center"/>
              <w:rPr>
                <w:rFonts w:ascii="宋体" w:hAnsi="宋体" w:cs="宋体"/>
                <w:szCs w:val="21"/>
              </w:rPr>
            </w:pPr>
          </w:p>
        </w:tc>
        <w:tc>
          <w:tcPr>
            <w:tcW w:w="1391" w:type="dxa"/>
            <w:tcBorders>
              <w:top w:val="single" w:color="000000" w:sz="4" w:space="0"/>
              <w:left w:val="single" w:color="auto" w:sz="4" w:space="0"/>
              <w:bottom w:val="single" w:color="000000" w:sz="4" w:space="0"/>
              <w:right w:val="single" w:color="auto" w:sz="4" w:space="0"/>
            </w:tcBorders>
            <w:vAlign w:val="center"/>
          </w:tcPr>
          <w:p w14:paraId="6ED319ED">
            <w:pPr>
              <w:jc w:val="center"/>
              <w:rPr>
                <w:rFonts w:ascii="仿宋" w:hAnsi="仿宋" w:eastAsia="仿宋" w:cs="宋体"/>
                <w:sz w:val="22"/>
              </w:rPr>
            </w:pPr>
            <w:r>
              <w:rPr>
                <w:rFonts w:hint="eastAsia" w:ascii="仿宋" w:hAnsi="仿宋" w:eastAsia="仿宋" w:cs="宋体"/>
                <w:sz w:val="22"/>
              </w:rPr>
              <w:t>2600</w:t>
            </w:r>
          </w:p>
        </w:tc>
        <w:tc>
          <w:tcPr>
            <w:tcW w:w="1103" w:type="dxa"/>
            <w:vMerge w:val="continue"/>
            <w:tcBorders>
              <w:left w:val="single" w:color="auto" w:sz="4" w:space="0"/>
              <w:right w:val="single" w:color="auto" w:sz="4" w:space="0"/>
            </w:tcBorders>
            <w:noWrap/>
            <w:vAlign w:val="center"/>
          </w:tcPr>
          <w:p w14:paraId="59A77B67">
            <w:pPr>
              <w:jc w:val="center"/>
              <w:rPr>
                <w:rFonts w:ascii="宋体" w:hAnsi="宋体" w:cs="宋体"/>
                <w:szCs w:val="21"/>
              </w:rPr>
            </w:pPr>
          </w:p>
        </w:tc>
        <w:tc>
          <w:tcPr>
            <w:tcW w:w="1701" w:type="dxa"/>
            <w:vMerge w:val="continue"/>
            <w:tcBorders>
              <w:left w:val="single" w:color="auto" w:sz="4" w:space="0"/>
              <w:right w:val="single" w:color="000000" w:sz="4" w:space="0"/>
            </w:tcBorders>
            <w:noWrap/>
            <w:vAlign w:val="center"/>
          </w:tcPr>
          <w:p w14:paraId="1025702C">
            <w:pPr>
              <w:jc w:val="center"/>
              <w:rPr>
                <w:rFonts w:ascii="宋体" w:hAnsi="宋体" w:cs="宋体"/>
                <w:szCs w:val="21"/>
              </w:rPr>
            </w:pPr>
          </w:p>
        </w:tc>
        <w:tc>
          <w:tcPr>
            <w:tcW w:w="2552" w:type="dxa"/>
            <w:vMerge w:val="continue"/>
            <w:tcBorders>
              <w:left w:val="single" w:color="000000" w:sz="4" w:space="0"/>
              <w:right w:val="single" w:color="auto" w:sz="4" w:space="0"/>
            </w:tcBorders>
            <w:noWrap/>
            <w:vAlign w:val="center"/>
          </w:tcPr>
          <w:p w14:paraId="42E63599">
            <w:pPr>
              <w:jc w:val="center"/>
              <w:rPr>
                <w:rFonts w:ascii="宋体" w:hAnsi="宋体" w:cs="宋体"/>
                <w:szCs w:val="21"/>
              </w:rPr>
            </w:pPr>
          </w:p>
        </w:tc>
        <w:tc>
          <w:tcPr>
            <w:tcW w:w="887" w:type="dxa"/>
            <w:vMerge w:val="continue"/>
            <w:tcBorders>
              <w:left w:val="single" w:color="auto" w:sz="4" w:space="0"/>
              <w:right w:val="single" w:color="000000" w:sz="4" w:space="0"/>
            </w:tcBorders>
            <w:noWrap/>
            <w:vAlign w:val="center"/>
          </w:tcPr>
          <w:p w14:paraId="3A6A2117">
            <w:pPr>
              <w:spacing w:line="360" w:lineRule="exact"/>
              <w:jc w:val="center"/>
              <w:textAlignment w:val="center"/>
              <w:rPr>
                <w:rFonts w:ascii="宋体" w:hAnsi="宋体" w:cs="宋体"/>
                <w:kern w:val="0"/>
                <w:szCs w:val="21"/>
              </w:rPr>
            </w:pPr>
          </w:p>
        </w:tc>
      </w:tr>
      <w:tr w14:paraId="48DD5CFA">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auto" w:sz="4" w:space="0"/>
              <w:right w:val="single" w:color="000000" w:sz="4" w:space="0"/>
            </w:tcBorders>
            <w:noWrap/>
            <w:vAlign w:val="center"/>
          </w:tcPr>
          <w:p w14:paraId="6F3FB46C">
            <w:pPr>
              <w:spacing w:line="360" w:lineRule="exact"/>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1582" w:type="dxa"/>
            <w:vMerge w:val="continue"/>
            <w:tcBorders>
              <w:left w:val="single" w:color="000000" w:sz="4" w:space="0"/>
              <w:bottom w:val="single" w:color="auto" w:sz="4" w:space="0"/>
              <w:right w:val="single" w:color="auto" w:sz="4" w:space="0"/>
            </w:tcBorders>
            <w:noWrap/>
            <w:vAlign w:val="center"/>
          </w:tcPr>
          <w:p w14:paraId="4D6A99AF">
            <w:pPr>
              <w:jc w:val="center"/>
              <w:rPr>
                <w:rFonts w:ascii="宋体" w:hAnsi="宋体" w:cs="宋体"/>
                <w:szCs w:val="21"/>
              </w:rPr>
            </w:pPr>
          </w:p>
        </w:tc>
        <w:tc>
          <w:tcPr>
            <w:tcW w:w="1391" w:type="dxa"/>
            <w:tcBorders>
              <w:top w:val="single" w:color="000000" w:sz="4" w:space="0"/>
              <w:left w:val="single" w:color="auto" w:sz="4" w:space="0"/>
              <w:bottom w:val="single" w:color="auto" w:sz="4" w:space="0"/>
              <w:right w:val="single" w:color="auto" w:sz="4" w:space="0"/>
            </w:tcBorders>
            <w:vAlign w:val="center"/>
          </w:tcPr>
          <w:p w14:paraId="7D84741E">
            <w:pPr>
              <w:jc w:val="center"/>
              <w:rPr>
                <w:rFonts w:ascii="仿宋" w:hAnsi="仿宋" w:eastAsia="仿宋" w:cs="宋体"/>
                <w:sz w:val="22"/>
              </w:rPr>
            </w:pPr>
            <w:r>
              <w:rPr>
                <w:rFonts w:hint="eastAsia" w:ascii="仿宋" w:hAnsi="仿宋" w:eastAsia="仿宋" w:cs="宋体"/>
                <w:sz w:val="22"/>
              </w:rPr>
              <w:t>2400</w:t>
            </w:r>
          </w:p>
        </w:tc>
        <w:tc>
          <w:tcPr>
            <w:tcW w:w="1103" w:type="dxa"/>
            <w:vMerge w:val="continue"/>
            <w:tcBorders>
              <w:left w:val="single" w:color="auto" w:sz="4" w:space="0"/>
              <w:bottom w:val="single" w:color="auto" w:sz="4" w:space="0"/>
              <w:right w:val="single" w:color="auto" w:sz="4" w:space="0"/>
            </w:tcBorders>
            <w:noWrap/>
            <w:vAlign w:val="center"/>
          </w:tcPr>
          <w:p w14:paraId="7C5C0F07">
            <w:pPr>
              <w:jc w:val="center"/>
              <w:rPr>
                <w:rFonts w:ascii="宋体" w:hAnsi="宋体" w:cs="宋体"/>
                <w:szCs w:val="21"/>
              </w:rPr>
            </w:pPr>
          </w:p>
        </w:tc>
        <w:tc>
          <w:tcPr>
            <w:tcW w:w="1701" w:type="dxa"/>
            <w:vMerge w:val="continue"/>
            <w:tcBorders>
              <w:left w:val="single" w:color="auto" w:sz="4" w:space="0"/>
              <w:bottom w:val="single" w:color="auto" w:sz="4" w:space="0"/>
              <w:right w:val="single" w:color="000000" w:sz="4" w:space="0"/>
            </w:tcBorders>
            <w:noWrap/>
            <w:vAlign w:val="center"/>
          </w:tcPr>
          <w:p w14:paraId="5E874700">
            <w:pPr>
              <w:jc w:val="center"/>
              <w:rPr>
                <w:rFonts w:ascii="宋体" w:hAnsi="宋体" w:cs="宋体"/>
                <w:szCs w:val="21"/>
              </w:rPr>
            </w:pPr>
          </w:p>
        </w:tc>
        <w:tc>
          <w:tcPr>
            <w:tcW w:w="2552" w:type="dxa"/>
            <w:vMerge w:val="continue"/>
            <w:tcBorders>
              <w:left w:val="single" w:color="000000" w:sz="4" w:space="0"/>
              <w:bottom w:val="single" w:color="auto" w:sz="4" w:space="0"/>
              <w:right w:val="single" w:color="auto" w:sz="4" w:space="0"/>
            </w:tcBorders>
            <w:noWrap/>
            <w:vAlign w:val="center"/>
          </w:tcPr>
          <w:p w14:paraId="59958C35">
            <w:pPr>
              <w:jc w:val="center"/>
              <w:rPr>
                <w:rFonts w:ascii="宋体" w:hAnsi="宋体" w:cs="宋体"/>
                <w:szCs w:val="21"/>
              </w:rPr>
            </w:pPr>
          </w:p>
        </w:tc>
        <w:tc>
          <w:tcPr>
            <w:tcW w:w="887" w:type="dxa"/>
            <w:vMerge w:val="continue"/>
            <w:tcBorders>
              <w:left w:val="single" w:color="auto" w:sz="4" w:space="0"/>
              <w:bottom w:val="single" w:color="000000" w:sz="4" w:space="0"/>
              <w:right w:val="single" w:color="000000" w:sz="4" w:space="0"/>
            </w:tcBorders>
            <w:noWrap/>
            <w:vAlign w:val="center"/>
          </w:tcPr>
          <w:p w14:paraId="26A16EED">
            <w:pPr>
              <w:spacing w:line="360" w:lineRule="exact"/>
              <w:jc w:val="center"/>
              <w:textAlignment w:val="center"/>
              <w:rPr>
                <w:rFonts w:ascii="宋体" w:hAnsi="宋体" w:cs="宋体"/>
                <w:kern w:val="0"/>
                <w:szCs w:val="21"/>
              </w:rPr>
            </w:pPr>
          </w:p>
        </w:tc>
      </w:tr>
      <w:tr w14:paraId="1FE48886">
        <w:tblPrEx>
          <w:tblCellMar>
            <w:top w:w="0" w:type="dxa"/>
            <w:left w:w="108" w:type="dxa"/>
            <w:bottom w:w="0" w:type="dxa"/>
            <w:right w:w="108" w:type="dxa"/>
          </w:tblCellMar>
        </w:tblPrEx>
        <w:trPr>
          <w:trHeight w:val="340" w:hRule="atLeast"/>
          <w:jc w:val="center"/>
        </w:trPr>
        <w:tc>
          <w:tcPr>
            <w:tcW w:w="599" w:type="dxa"/>
            <w:tcBorders>
              <w:top w:val="single" w:color="000000" w:sz="4" w:space="0"/>
              <w:left w:val="single" w:color="000000" w:sz="4" w:space="0"/>
              <w:bottom w:val="single" w:color="auto" w:sz="4" w:space="0"/>
              <w:right w:val="single" w:color="000000" w:sz="4" w:space="0"/>
            </w:tcBorders>
            <w:noWrap/>
            <w:vAlign w:val="center"/>
          </w:tcPr>
          <w:p w14:paraId="36A9FFBA">
            <w:pPr>
              <w:spacing w:line="360" w:lineRule="exact"/>
              <w:jc w:val="center"/>
              <w:textAlignment w:val="center"/>
              <w:rPr>
                <w:rFonts w:hint="eastAsia" w:ascii="宋体" w:hAnsi="宋体" w:cs="宋体"/>
                <w:kern w:val="0"/>
                <w:szCs w:val="21"/>
                <w:lang w:val="en-US" w:eastAsia="zh-CN"/>
              </w:rPr>
            </w:pPr>
          </w:p>
        </w:tc>
        <w:tc>
          <w:tcPr>
            <w:tcW w:w="1582" w:type="dxa"/>
            <w:tcBorders>
              <w:left w:val="single" w:color="000000" w:sz="4" w:space="0"/>
              <w:bottom w:val="single" w:color="auto" w:sz="4" w:space="0"/>
              <w:right w:val="single" w:color="auto" w:sz="4" w:space="0"/>
            </w:tcBorders>
            <w:noWrap/>
            <w:vAlign w:val="center"/>
          </w:tcPr>
          <w:p w14:paraId="44C89B64">
            <w:pPr>
              <w:jc w:val="center"/>
              <w:rPr>
                <w:rFonts w:hint="eastAsia" w:ascii="宋体" w:hAnsi="宋体" w:eastAsia="宋体" w:cs="宋体"/>
                <w:szCs w:val="21"/>
                <w:lang w:val="en-US" w:eastAsia="zh-CN"/>
              </w:rPr>
            </w:pPr>
            <w:r>
              <w:rPr>
                <w:rFonts w:hint="eastAsia" w:ascii="宋体" w:hAnsi="宋体" w:cs="宋体"/>
                <w:szCs w:val="21"/>
                <w:lang w:val="en-US" w:eastAsia="zh-CN"/>
              </w:rPr>
              <w:t>合计</w:t>
            </w:r>
          </w:p>
        </w:tc>
        <w:tc>
          <w:tcPr>
            <w:tcW w:w="1391" w:type="dxa"/>
            <w:tcBorders>
              <w:top w:val="single" w:color="000000" w:sz="4" w:space="0"/>
              <w:left w:val="single" w:color="auto" w:sz="4" w:space="0"/>
              <w:bottom w:val="single" w:color="auto" w:sz="4" w:space="0"/>
              <w:right w:val="single" w:color="auto" w:sz="4" w:space="0"/>
            </w:tcBorders>
            <w:vAlign w:val="center"/>
          </w:tcPr>
          <w:p w14:paraId="1728505D">
            <w:pPr>
              <w:jc w:val="center"/>
              <w:rPr>
                <w:rFonts w:hint="eastAsia" w:ascii="宋体" w:hAnsi="宋体" w:cs="宋体"/>
                <w:szCs w:val="21"/>
              </w:rPr>
            </w:pPr>
            <w:r>
              <w:rPr>
                <w:rFonts w:hint="eastAsia" w:ascii="宋体" w:hAnsi="宋体" w:cs="宋体"/>
                <w:szCs w:val="21"/>
              </w:rPr>
              <w:t>22730</w:t>
            </w:r>
          </w:p>
          <w:p w14:paraId="4D8552D3">
            <w:pPr>
              <w:jc w:val="center"/>
              <w:rPr>
                <w:rFonts w:ascii="仿宋" w:hAnsi="仿宋" w:eastAsia="仿宋" w:cs="宋体"/>
                <w:sz w:val="22"/>
              </w:rPr>
            </w:pPr>
            <w:r>
              <w:rPr>
                <w:rFonts w:hint="eastAsia" w:ascii="宋体" w:hAnsi="宋体" w:cs="宋体"/>
                <w:szCs w:val="21"/>
              </w:rPr>
              <w:t>万毫升</w:t>
            </w:r>
          </w:p>
        </w:tc>
        <w:tc>
          <w:tcPr>
            <w:tcW w:w="1103" w:type="dxa"/>
            <w:tcBorders>
              <w:left w:val="single" w:color="auto" w:sz="4" w:space="0"/>
              <w:bottom w:val="single" w:color="auto" w:sz="4" w:space="0"/>
              <w:right w:val="single" w:color="auto" w:sz="4" w:space="0"/>
            </w:tcBorders>
            <w:noWrap/>
            <w:vAlign w:val="center"/>
          </w:tcPr>
          <w:p w14:paraId="12D8AC88">
            <w:pPr>
              <w:jc w:val="center"/>
              <w:rPr>
                <w:rFonts w:ascii="宋体" w:hAnsi="宋体" w:cs="宋体"/>
                <w:szCs w:val="21"/>
              </w:rPr>
            </w:pPr>
          </w:p>
        </w:tc>
        <w:tc>
          <w:tcPr>
            <w:tcW w:w="1701" w:type="dxa"/>
            <w:tcBorders>
              <w:left w:val="single" w:color="auto" w:sz="4" w:space="0"/>
              <w:bottom w:val="single" w:color="auto" w:sz="4" w:space="0"/>
              <w:right w:val="single" w:color="000000" w:sz="4" w:space="0"/>
            </w:tcBorders>
            <w:noWrap/>
            <w:vAlign w:val="center"/>
          </w:tcPr>
          <w:p w14:paraId="1FC0F9BC">
            <w:pPr>
              <w:jc w:val="center"/>
              <w:rPr>
                <w:rFonts w:ascii="宋体" w:hAnsi="宋体" w:cs="宋体"/>
                <w:szCs w:val="21"/>
              </w:rPr>
            </w:pPr>
          </w:p>
        </w:tc>
        <w:tc>
          <w:tcPr>
            <w:tcW w:w="2552" w:type="dxa"/>
            <w:tcBorders>
              <w:left w:val="single" w:color="000000" w:sz="4" w:space="0"/>
              <w:bottom w:val="single" w:color="auto" w:sz="4" w:space="0"/>
              <w:right w:val="single" w:color="auto" w:sz="4" w:space="0"/>
            </w:tcBorders>
            <w:noWrap/>
            <w:vAlign w:val="center"/>
          </w:tcPr>
          <w:p w14:paraId="29EDFE2F">
            <w:pPr>
              <w:jc w:val="center"/>
              <w:rPr>
                <w:rFonts w:ascii="宋体" w:hAnsi="宋体" w:cs="宋体"/>
                <w:szCs w:val="21"/>
              </w:rPr>
            </w:pPr>
          </w:p>
        </w:tc>
        <w:tc>
          <w:tcPr>
            <w:tcW w:w="887" w:type="dxa"/>
            <w:tcBorders>
              <w:left w:val="single" w:color="auto" w:sz="4" w:space="0"/>
              <w:bottom w:val="single" w:color="000000" w:sz="4" w:space="0"/>
              <w:right w:val="single" w:color="000000" w:sz="4" w:space="0"/>
            </w:tcBorders>
            <w:noWrap/>
            <w:vAlign w:val="center"/>
          </w:tcPr>
          <w:p w14:paraId="248B1B58">
            <w:pPr>
              <w:spacing w:line="360" w:lineRule="exact"/>
              <w:jc w:val="center"/>
              <w:textAlignment w:val="center"/>
              <w:rPr>
                <w:rFonts w:ascii="宋体" w:hAnsi="宋体" w:cs="宋体"/>
                <w:kern w:val="0"/>
                <w:szCs w:val="21"/>
              </w:rPr>
            </w:pPr>
          </w:p>
        </w:tc>
      </w:tr>
      <w:tr w14:paraId="01463B77">
        <w:tblPrEx>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w:t>
            </w:r>
          </w:p>
        </w:tc>
        <w:tc>
          <w:tcPr>
            <w:tcW w:w="1582" w:type="dxa"/>
            <w:tcBorders>
              <w:top w:val="single" w:color="auto" w:sz="4" w:space="0"/>
              <w:left w:val="single" w:color="auto" w:sz="4" w:space="0"/>
              <w:bottom w:val="single" w:color="auto" w:sz="4" w:space="0"/>
              <w:right w:val="single" w:color="auto" w:sz="4" w:space="0"/>
            </w:tcBorders>
            <w:noWrap/>
            <w:vAlign w:val="center"/>
          </w:tcPr>
          <w:p w14:paraId="3C8DE6CA">
            <w:pPr>
              <w:jc w:val="center"/>
              <w:rPr>
                <w:rFonts w:ascii="宋体" w:hAnsi="宋体" w:cs="宋体"/>
                <w:szCs w:val="21"/>
              </w:rPr>
            </w:pPr>
            <w:r>
              <w:rPr>
                <w:rFonts w:hint="eastAsia" w:ascii="宋体" w:hAnsi="宋体" w:cs="宋体"/>
                <w:szCs w:val="21"/>
              </w:rPr>
              <w:t>重组禽流感病毒（H5+H7）三价灭活疫苗（H5N2 rHN5801株+ rGD59株，H7N9 rHN7903株）</w:t>
            </w:r>
          </w:p>
        </w:tc>
        <w:tc>
          <w:tcPr>
            <w:tcW w:w="1391" w:type="dxa"/>
            <w:tcBorders>
              <w:top w:val="single" w:color="auto" w:sz="4" w:space="0"/>
              <w:left w:val="single" w:color="auto" w:sz="4" w:space="0"/>
              <w:bottom w:val="single" w:color="auto" w:sz="4" w:space="0"/>
              <w:right w:val="single" w:color="auto" w:sz="4" w:space="0"/>
            </w:tcBorders>
            <w:vAlign w:val="center"/>
          </w:tcPr>
          <w:p w14:paraId="6067E4AC">
            <w:pPr>
              <w:jc w:val="center"/>
              <w:rPr>
                <w:rFonts w:ascii="宋体" w:hAnsi="宋体" w:cs="宋体"/>
                <w:szCs w:val="21"/>
              </w:rPr>
            </w:pPr>
            <w:r>
              <w:rPr>
                <w:rFonts w:hint="eastAsia" w:ascii="宋体" w:hAnsi="宋体" w:cs="宋体"/>
                <w:szCs w:val="21"/>
              </w:rPr>
              <w:t>2000万毫升</w:t>
            </w:r>
          </w:p>
        </w:tc>
        <w:tc>
          <w:tcPr>
            <w:tcW w:w="1103" w:type="dxa"/>
            <w:tcBorders>
              <w:top w:val="single" w:color="auto" w:sz="4" w:space="0"/>
              <w:left w:val="single" w:color="auto" w:sz="4" w:space="0"/>
              <w:bottom w:val="single" w:color="auto" w:sz="4" w:space="0"/>
              <w:right w:val="single" w:color="auto" w:sz="4" w:space="0"/>
            </w:tcBorders>
            <w:noWrap/>
            <w:vAlign w:val="center"/>
          </w:tcPr>
          <w:p w14:paraId="3D01C754">
            <w:pPr>
              <w:jc w:val="center"/>
              <w:rPr>
                <w:rFonts w:ascii="宋体" w:hAnsi="宋体" w:cs="宋体"/>
                <w:szCs w:val="21"/>
              </w:rPr>
            </w:pPr>
            <w:r>
              <w:rPr>
                <w:rFonts w:hint="eastAsia" w:ascii="宋体" w:hAnsi="宋体" w:cs="宋体"/>
                <w:szCs w:val="21"/>
              </w:rPr>
              <w:t>25</w:t>
            </w:r>
            <w:r>
              <w:rPr>
                <w:rFonts w:hint="eastAsia" w:ascii="宋体" w:hAnsi="宋体" w:cs="宋体"/>
                <w:szCs w:val="21"/>
                <w:lang w:val="en-US" w:eastAsia="zh-CN"/>
              </w:rPr>
              <w:t>00</w:t>
            </w:r>
            <w:r>
              <w:rPr>
                <w:rFonts w:hint="eastAsia" w:ascii="宋体" w:hAnsi="宋体" w:cs="宋体"/>
                <w:szCs w:val="21"/>
              </w:rPr>
              <w:t>元/万毫升</w:t>
            </w:r>
          </w:p>
        </w:tc>
        <w:tc>
          <w:tcPr>
            <w:tcW w:w="1701" w:type="dxa"/>
            <w:tcBorders>
              <w:top w:val="single" w:color="auto" w:sz="4" w:space="0"/>
              <w:left w:val="single" w:color="auto" w:sz="4" w:space="0"/>
              <w:bottom w:val="single" w:color="auto" w:sz="4" w:space="0"/>
              <w:right w:val="single" w:color="auto" w:sz="4" w:space="0"/>
            </w:tcBorders>
            <w:noWrap/>
            <w:vAlign w:val="center"/>
          </w:tcPr>
          <w:p w14:paraId="57DA0EDB">
            <w:pPr>
              <w:jc w:val="center"/>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ascii="宋体" w:hAnsi="宋体" w:cs="宋体"/>
                <w:szCs w:val="21"/>
              </w:rPr>
            </w:pPr>
          </w:p>
        </w:tc>
        <w:tc>
          <w:tcPr>
            <w:tcW w:w="887"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ascii="宋体" w:hAnsi="宋体" w:cs="宋体"/>
                <w:kern w:val="0"/>
                <w:szCs w:val="21"/>
              </w:rPr>
            </w:pPr>
          </w:p>
        </w:tc>
      </w:tr>
      <w:tr w14:paraId="7F014B01">
        <w:tblPrEx>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noWrap/>
            <w:vAlign w:val="center"/>
          </w:tcPr>
          <w:p w14:paraId="1EC87F58">
            <w:pPr>
              <w:spacing w:line="360" w:lineRule="exac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1582" w:type="dxa"/>
            <w:tcBorders>
              <w:top w:val="single" w:color="auto" w:sz="4" w:space="0"/>
              <w:left w:val="single" w:color="auto" w:sz="4" w:space="0"/>
              <w:bottom w:val="single" w:color="auto" w:sz="4" w:space="0"/>
              <w:right w:val="single" w:color="auto" w:sz="4" w:space="0"/>
            </w:tcBorders>
            <w:noWrap/>
            <w:vAlign w:val="center"/>
          </w:tcPr>
          <w:p w14:paraId="163D564B">
            <w:pPr>
              <w:jc w:val="center"/>
              <w:rPr>
                <w:rFonts w:ascii="宋体" w:hAnsi="宋体" w:cs="宋体"/>
                <w:szCs w:val="21"/>
              </w:rPr>
            </w:pPr>
            <w:r>
              <w:rPr>
                <w:rFonts w:hint="eastAsia" w:ascii="宋体" w:hAnsi="宋体" w:cs="宋体"/>
                <w:szCs w:val="21"/>
              </w:rPr>
              <w:t>口蹄疫O型、A型二价3B蛋白表位缺失灭活疫苗</w:t>
            </w:r>
          </w:p>
        </w:tc>
        <w:tc>
          <w:tcPr>
            <w:tcW w:w="1391" w:type="dxa"/>
            <w:tcBorders>
              <w:top w:val="single" w:color="auto" w:sz="4" w:space="0"/>
              <w:left w:val="single" w:color="auto" w:sz="4" w:space="0"/>
              <w:bottom w:val="single" w:color="auto" w:sz="4" w:space="0"/>
              <w:right w:val="single" w:color="auto" w:sz="4" w:space="0"/>
            </w:tcBorders>
            <w:vAlign w:val="center"/>
          </w:tcPr>
          <w:p w14:paraId="6B2E8DE0">
            <w:pPr>
              <w:jc w:val="center"/>
              <w:rPr>
                <w:rFonts w:ascii="宋体" w:hAnsi="宋体" w:cs="宋体"/>
                <w:szCs w:val="21"/>
              </w:rPr>
            </w:pPr>
            <w:r>
              <w:rPr>
                <w:rFonts w:hint="eastAsia" w:ascii="宋体" w:hAnsi="宋体" w:cs="宋体"/>
                <w:szCs w:val="21"/>
              </w:rPr>
              <w:t>200万头份</w:t>
            </w:r>
          </w:p>
        </w:tc>
        <w:tc>
          <w:tcPr>
            <w:tcW w:w="1103" w:type="dxa"/>
            <w:tcBorders>
              <w:top w:val="single" w:color="auto" w:sz="4" w:space="0"/>
              <w:left w:val="single" w:color="auto" w:sz="4" w:space="0"/>
              <w:bottom w:val="single" w:color="auto" w:sz="4" w:space="0"/>
              <w:right w:val="single" w:color="auto" w:sz="4" w:space="0"/>
            </w:tcBorders>
            <w:noWrap/>
            <w:vAlign w:val="center"/>
          </w:tcPr>
          <w:p w14:paraId="7B6D0ECB">
            <w:pPr>
              <w:jc w:val="center"/>
              <w:rPr>
                <w:rFonts w:ascii="宋体" w:hAnsi="宋体" w:cs="宋体"/>
                <w:szCs w:val="21"/>
              </w:rPr>
            </w:pPr>
            <w:r>
              <w:rPr>
                <w:rFonts w:hint="eastAsia" w:ascii="宋体" w:hAnsi="宋体" w:cs="宋体"/>
                <w:szCs w:val="21"/>
              </w:rPr>
              <w:t>15</w:t>
            </w:r>
            <w:r>
              <w:rPr>
                <w:rFonts w:hint="eastAsia" w:ascii="宋体" w:hAnsi="宋体" w:cs="宋体"/>
                <w:szCs w:val="21"/>
                <w:lang w:val="en-US" w:eastAsia="zh-CN"/>
              </w:rPr>
              <w:t>000</w:t>
            </w:r>
            <w:r>
              <w:rPr>
                <w:rFonts w:hint="eastAsia" w:ascii="宋体" w:hAnsi="宋体" w:cs="宋体"/>
                <w:szCs w:val="21"/>
              </w:rPr>
              <w:t>元/万头份</w:t>
            </w:r>
          </w:p>
        </w:tc>
        <w:tc>
          <w:tcPr>
            <w:tcW w:w="1701" w:type="dxa"/>
            <w:tcBorders>
              <w:top w:val="single" w:color="auto" w:sz="4" w:space="0"/>
              <w:left w:val="single" w:color="auto" w:sz="4" w:space="0"/>
              <w:bottom w:val="single" w:color="auto" w:sz="4" w:space="0"/>
              <w:right w:val="single" w:color="auto" w:sz="4" w:space="0"/>
            </w:tcBorders>
            <w:noWrap/>
            <w:vAlign w:val="center"/>
          </w:tcPr>
          <w:p w14:paraId="420EF383">
            <w:pPr>
              <w:jc w:val="center"/>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1B8ADE1E">
            <w:pPr>
              <w:jc w:val="center"/>
              <w:rPr>
                <w:rFonts w:ascii="宋体" w:hAnsi="宋体" w:cs="宋体"/>
                <w:szCs w:val="21"/>
              </w:rPr>
            </w:pPr>
          </w:p>
        </w:tc>
        <w:tc>
          <w:tcPr>
            <w:tcW w:w="887" w:type="dxa"/>
            <w:tcBorders>
              <w:top w:val="single" w:color="000000" w:sz="4" w:space="0"/>
              <w:left w:val="single" w:color="auto" w:sz="4" w:space="0"/>
              <w:bottom w:val="single" w:color="000000" w:sz="4" w:space="0"/>
              <w:right w:val="single" w:color="000000" w:sz="4" w:space="0"/>
            </w:tcBorders>
            <w:noWrap/>
            <w:vAlign w:val="center"/>
          </w:tcPr>
          <w:p w14:paraId="3716C7CE">
            <w:pPr>
              <w:spacing w:line="360" w:lineRule="exact"/>
              <w:jc w:val="center"/>
              <w:textAlignment w:val="center"/>
              <w:rPr>
                <w:rFonts w:ascii="宋体" w:hAnsi="宋体" w:cs="宋体"/>
                <w:kern w:val="0"/>
                <w:szCs w:val="21"/>
              </w:rPr>
            </w:pPr>
          </w:p>
        </w:tc>
      </w:tr>
      <w:tr w14:paraId="7E87E9A6">
        <w:tblPrEx>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noWrap/>
            <w:vAlign w:val="center"/>
          </w:tcPr>
          <w:p w14:paraId="0235F04E">
            <w:pPr>
              <w:spacing w:line="360" w:lineRule="exac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1582" w:type="dxa"/>
            <w:tcBorders>
              <w:top w:val="single" w:color="auto" w:sz="4" w:space="0"/>
              <w:left w:val="single" w:color="auto" w:sz="4" w:space="0"/>
              <w:bottom w:val="single" w:color="auto" w:sz="4" w:space="0"/>
              <w:right w:val="single" w:color="auto" w:sz="4" w:space="0"/>
            </w:tcBorders>
            <w:noWrap/>
            <w:vAlign w:val="center"/>
          </w:tcPr>
          <w:p w14:paraId="0D5CDE01">
            <w:pPr>
              <w:jc w:val="center"/>
              <w:rPr>
                <w:rFonts w:ascii="宋体" w:hAnsi="宋体" w:cs="宋体"/>
                <w:szCs w:val="21"/>
              </w:rPr>
            </w:pPr>
            <w:r>
              <w:rPr>
                <w:rFonts w:hint="eastAsia" w:ascii="宋体" w:hAnsi="宋体" w:cs="宋体"/>
                <w:szCs w:val="21"/>
              </w:rPr>
              <w:t>高致病性猪繁殖与呼吸综合征活疫苗</w:t>
            </w:r>
          </w:p>
        </w:tc>
        <w:tc>
          <w:tcPr>
            <w:tcW w:w="1391" w:type="dxa"/>
            <w:tcBorders>
              <w:top w:val="single" w:color="auto" w:sz="4" w:space="0"/>
              <w:left w:val="single" w:color="auto" w:sz="4" w:space="0"/>
              <w:bottom w:val="single" w:color="auto" w:sz="4" w:space="0"/>
              <w:right w:val="single" w:color="auto" w:sz="4" w:space="0"/>
            </w:tcBorders>
            <w:vAlign w:val="center"/>
          </w:tcPr>
          <w:p w14:paraId="668FE7F5">
            <w:pPr>
              <w:jc w:val="center"/>
              <w:rPr>
                <w:rFonts w:ascii="宋体" w:hAnsi="宋体" w:cs="宋体"/>
                <w:szCs w:val="21"/>
              </w:rPr>
            </w:pPr>
            <w:r>
              <w:rPr>
                <w:rFonts w:hint="eastAsia" w:ascii="宋体" w:hAnsi="宋体" w:cs="宋体"/>
                <w:szCs w:val="21"/>
              </w:rPr>
              <w:t>30万头份</w:t>
            </w:r>
          </w:p>
        </w:tc>
        <w:tc>
          <w:tcPr>
            <w:tcW w:w="1103" w:type="dxa"/>
            <w:tcBorders>
              <w:top w:val="single" w:color="auto" w:sz="4" w:space="0"/>
              <w:left w:val="single" w:color="auto" w:sz="4" w:space="0"/>
              <w:bottom w:val="single" w:color="auto" w:sz="4" w:space="0"/>
              <w:right w:val="single" w:color="auto" w:sz="4" w:space="0"/>
            </w:tcBorders>
            <w:noWrap/>
            <w:vAlign w:val="center"/>
          </w:tcPr>
          <w:p w14:paraId="17D00500">
            <w:pPr>
              <w:jc w:val="center"/>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000</w:t>
            </w:r>
            <w:r>
              <w:rPr>
                <w:rFonts w:hint="eastAsia" w:ascii="宋体" w:hAnsi="宋体" w:cs="宋体"/>
                <w:szCs w:val="21"/>
              </w:rPr>
              <w:t>元/万头份</w:t>
            </w:r>
          </w:p>
        </w:tc>
        <w:tc>
          <w:tcPr>
            <w:tcW w:w="1701" w:type="dxa"/>
            <w:tcBorders>
              <w:top w:val="single" w:color="auto" w:sz="4" w:space="0"/>
              <w:left w:val="single" w:color="auto" w:sz="4" w:space="0"/>
              <w:bottom w:val="single" w:color="auto" w:sz="4" w:space="0"/>
              <w:right w:val="single" w:color="auto" w:sz="4" w:space="0"/>
            </w:tcBorders>
            <w:noWrap/>
            <w:vAlign w:val="center"/>
          </w:tcPr>
          <w:p w14:paraId="43D36956">
            <w:pPr>
              <w:jc w:val="center"/>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6E9DA78D">
            <w:pPr>
              <w:jc w:val="center"/>
              <w:rPr>
                <w:rFonts w:ascii="宋体" w:hAnsi="宋体" w:cs="宋体"/>
                <w:szCs w:val="21"/>
              </w:rPr>
            </w:pPr>
          </w:p>
        </w:tc>
        <w:tc>
          <w:tcPr>
            <w:tcW w:w="887" w:type="dxa"/>
            <w:tcBorders>
              <w:top w:val="single" w:color="000000" w:sz="4" w:space="0"/>
              <w:left w:val="single" w:color="auto" w:sz="4" w:space="0"/>
              <w:bottom w:val="single" w:color="000000" w:sz="4" w:space="0"/>
              <w:right w:val="single" w:color="000000" w:sz="4" w:space="0"/>
            </w:tcBorders>
            <w:noWrap/>
            <w:vAlign w:val="center"/>
          </w:tcPr>
          <w:p w14:paraId="673C317C">
            <w:pPr>
              <w:spacing w:line="360" w:lineRule="exact"/>
              <w:jc w:val="center"/>
              <w:textAlignment w:val="center"/>
              <w:rPr>
                <w:rFonts w:ascii="宋体" w:hAnsi="宋体" w:cs="宋体"/>
                <w:kern w:val="0"/>
                <w:szCs w:val="21"/>
              </w:rPr>
            </w:pPr>
          </w:p>
        </w:tc>
      </w:tr>
      <w:tr w14:paraId="4212148B">
        <w:tblPrEx>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noWrap/>
            <w:vAlign w:val="center"/>
          </w:tcPr>
          <w:p w14:paraId="62C2E88E">
            <w:pPr>
              <w:spacing w:line="360" w:lineRule="exac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ign w:val="center"/>
          </w:tcPr>
          <w:p w14:paraId="532D4B06">
            <w:pPr>
              <w:jc w:val="center"/>
              <w:rPr>
                <w:rFonts w:ascii="宋体" w:hAnsi="宋体" w:cs="宋体"/>
                <w:szCs w:val="21"/>
              </w:rPr>
            </w:pPr>
            <w:r>
              <w:rPr>
                <w:rFonts w:hint="eastAsia" w:ascii="宋体" w:hAnsi="宋体" w:cs="宋体"/>
                <w:szCs w:val="21"/>
              </w:rPr>
              <w:t>山羊痘活疫苗</w:t>
            </w:r>
          </w:p>
        </w:tc>
        <w:tc>
          <w:tcPr>
            <w:tcW w:w="1391" w:type="dxa"/>
            <w:tcBorders>
              <w:top w:val="single" w:color="auto" w:sz="4" w:space="0"/>
              <w:left w:val="single" w:color="auto" w:sz="4" w:space="0"/>
              <w:bottom w:val="single" w:color="auto" w:sz="4" w:space="0"/>
              <w:right w:val="single" w:color="auto" w:sz="4" w:space="0"/>
            </w:tcBorders>
            <w:vAlign w:val="center"/>
          </w:tcPr>
          <w:p w14:paraId="586C4486">
            <w:pPr>
              <w:jc w:val="center"/>
              <w:rPr>
                <w:rFonts w:ascii="宋体" w:hAnsi="宋体" w:cs="宋体"/>
                <w:szCs w:val="21"/>
              </w:rPr>
            </w:pPr>
            <w:r>
              <w:rPr>
                <w:rFonts w:hint="eastAsia" w:ascii="宋体" w:hAnsi="宋体" w:cs="宋体"/>
                <w:szCs w:val="21"/>
              </w:rPr>
              <w:t>300万头份</w:t>
            </w:r>
          </w:p>
        </w:tc>
        <w:tc>
          <w:tcPr>
            <w:tcW w:w="1103" w:type="dxa"/>
            <w:tcBorders>
              <w:top w:val="single" w:color="auto" w:sz="4" w:space="0"/>
              <w:left w:val="single" w:color="auto" w:sz="4" w:space="0"/>
              <w:bottom w:val="single" w:color="auto" w:sz="4" w:space="0"/>
              <w:right w:val="single" w:color="auto" w:sz="4" w:space="0"/>
            </w:tcBorders>
            <w:noWrap/>
            <w:vAlign w:val="center"/>
          </w:tcPr>
          <w:p w14:paraId="25D03D32">
            <w:pPr>
              <w:jc w:val="center"/>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00</w:t>
            </w:r>
            <w:r>
              <w:rPr>
                <w:rFonts w:hint="eastAsia" w:ascii="宋体" w:hAnsi="宋体" w:cs="宋体"/>
                <w:szCs w:val="21"/>
              </w:rPr>
              <w:t>元/万头份</w:t>
            </w:r>
          </w:p>
        </w:tc>
        <w:tc>
          <w:tcPr>
            <w:tcW w:w="1701" w:type="dxa"/>
            <w:tcBorders>
              <w:top w:val="single" w:color="auto" w:sz="4" w:space="0"/>
              <w:left w:val="single" w:color="auto" w:sz="4" w:space="0"/>
              <w:bottom w:val="single" w:color="auto" w:sz="4" w:space="0"/>
              <w:right w:val="single" w:color="auto" w:sz="4" w:space="0"/>
            </w:tcBorders>
            <w:noWrap/>
            <w:vAlign w:val="center"/>
          </w:tcPr>
          <w:p w14:paraId="369C0D4F">
            <w:pPr>
              <w:jc w:val="center"/>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60D8F2B8">
            <w:pPr>
              <w:jc w:val="center"/>
              <w:rPr>
                <w:rFonts w:ascii="宋体" w:hAnsi="宋体" w:cs="宋体"/>
                <w:szCs w:val="21"/>
              </w:rPr>
            </w:pPr>
          </w:p>
        </w:tc>
        <w:tc>
          <w:tcPr>
            <w:tcW w:w="887" w:type="dxa"/>
            <w:tcBorders>
              <w:top w:val="single" w:color="000000" w:sz="4" w:space="0"/>
              <w:left w:val="single" w:color="auto" w:sz="4" w:space="0"/>
              <w:bottom w:val="single" w:color="000000" w:sz="4" w:space="0"/>
              <w:right w:val="single" w:color="000000" w:sz="4" w:space="0"/>
            </w:tcBorders>
            <w:noWrap/>
            <w:vAlign w:val="center"/>
          </w:tcPr>
          <w:p w14:paraId="20E3EDAC">
            <w:pPr>
              <w:spacing w:line="360" w:lineRule="exact"/>
              <w:jc w:val="center"/>
              <w:textAlignment w:val="center"/>
              <w:rPr>
                <w:rFonts w:ascii="宋体" w:hAnsi="宋体" w:cs="宋体"/>
                <w:kern w:val="0"/>
                <w:szCs w:val="21"/>
              </w:rPr>
            </w:pPr>
          </w:p>
        </w:tc>
      </w:tr>
    </w:tbl>
    <w:p w14:paraId="1A14985D">
      <w:pPr>
        <w:spacing w:line="360" w:lineRule="auto"/>
        <w:rPr>
          <w:rFonts w:ascii="宋体" w:hAnsi="宋体"/>
        </w:rPr>
      </w:pPr>
      <w:r>
        <w:rPr>
          <w:rFonts w:hint="eastAsia" w:ascii="宋体" w:hAnsi="宋体"/>
          <w:b/>
          <w:szCs w:val="21"/>
        </w:rPr>
        <w:t>3、</w:t>
      </w:r>
      <w:r>
        <w:rPr>
          <w:rFonts w:ascii="宋体" w:hAnsi="宋体"/>
          <w:b/>
        </w:rPr>
        <w:t>相关产业发展情况</w:t>
      </w:r>
      <w:r>
        <w:rPr>
          <w:rFonts w:hint="eastAsia" w:ascii="宋体" w:hAnsi="宋体"/>
          <w:b/>
        </w:rPr>
        <w:t>：</w:t>
      </w:r>
      <w:r>
        <w:rPr>
          <w:rFonts w:hint="eastAsia" w:ascii="宋体" w:hAnsi="宋体"/>
        </w:rPr>
        <w:t>（选填有参与意向的标的）</w:t>
      </w:r>
    </w:p>
    <w:tbl>
      <w:tblPr>
        <w:tblStyle w:val="7"/>
        <w:tblW w:w="9328" w:type="dxa"/>
        <w:jc w:val="center"/>
        <w:tblLayout w:type="fixed"/>
        <w:tblCellMar>
          <w:top w:w="0" w:type="dxa"/>
          <w:left w:w="108" w:type="dxa"/>
          <w:bottom w:w="0" w:type="dxa"/>
          <w:right w:w="108" w:type="dxa"/>
        </w:tblCellMar>
      </w:tblPr>
      <w:tblGrid>
        <w:gridCol w:w="486"/>
        <w:gridCol w:w="2572"/>
        <w:gridCol w:w="5194"/>
        <w:gridCol w:w="1076"/>
      </w:tblGrid>
      <w:tr w14:paraId="4EF20C3F">
        <w:tblPrEx>
          <w:tblCellMar>
            <w:top w:w="0" w:type="dxa"/>
            <w:left w:w="108" w:type="dxa"/>
            <w:bottom w:w="0" w:type="dxa"/>
            <w:right w:w="108" w:type="dxa"/>
          </w:tblCellMar>
        </w:tblPrEx>
        <w:trPr>
          <w:trHeight w:val="3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ascii="宋体" w:hAnsi="宋体" w:cs="宋体"/>
                <w:kern w:val="0"/>
                <w:szCs w:val="21"/>
              </w:rPr>
            </w:pPr>
            <w:r>
              <w:rPr>
                <w:rFonts w:ascii="宋体" w:hAnsi="宋体" w:cs="宋体"/>
                <w:kern w:val="0"/>
                <w:szCs w:val="21"/>
              </w:rPr>
              <w:t>序号</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ascii="宋体" w:hAnsi="宋体" w:cs="宋体"/>
                <w:kern w:val="0"/>
                <w:szCs w:val="21"/>
              </w:rPr>
            </w:pPr>
            <w:r>
              <w:rPr>
                <w:rFonts w:hint="eastAsia" w:ascii="宋体" w:hAnsi="宋体" w:cs="宋体"/>
                <w:kern w:val="0"/>
                <w:szCs w:val="21"/>
              </w:rPr>
              <w:t>标的</w:t>
            </w:r>
            <w:r>
              <w:rPr>
                <w:rFonts w:ascii="宋体" w:hAnsi="宋体" w:cs="宋体"/>
                <w:kern w:val="0"/>
                <w:szCs w:val="21"/>
              </w:rPr>
              <w:t>名称</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ascii="宋体" w:hAnsi="宋体" w:cs="宋体"/>
                <w:kern w:val="0"/>
                <w:szCs w:val="21"/>
              </w:rPr>
            </w:pPr>
            <w:r>
              <w:rPr>
                <w:rFonts w:ascii="宋体" w:hAnsi="宋体"/>
              </w:rPr>
              <w:t>相关产业发展情况</w:t>
            </w:r>
          </w:p>
        </w:tc>
        <w:tc>
          <w:tcPr>
            <w:tcW w:w="1076"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ascii="宋体" w:hAnsi="宋体" w:cs="宋体"/>
                <w:kern w:val="0"/>
                <w:szCs w:val="21"/>
              </w:rPr>
            </w:pPr>
            <w:r>
              <w:rPr>
                <w:rFonts w:ascii="宋体" w:hAnsi="宋体" w:cs="宋体"/>
                <w:kern w:val="0"/>
                <w:szCs w:val="21"/>
              </w:rPr>
              <w:t>备注</w:t>
            </w:r>
          </w:p>
        </w:tc>
      </w:tr>
      <w:tr w14:paraId="3F6BCE84">
        <w:tblPrEx>
          <w:tblCellMar>
            <w:top w:w="0" w:type="dxa"/>
            <w:left w:w="108" w:type="dxa"/>
            <w:bottom w:w="0" w:type="dxa"/>
            <w:right w:w="108" w:type="dxa"/>
          </w:tblCellMar>
        </w:tblPrEx>
        <w:trPr>
          <w:trHeight w:val="3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ascii="宋体" w:hAnsi="宋体" w:cs="宋体"/>
                <w:kern w:val="0"/>
                <w:szCs w:val="21"/>
              </w:rPr>
            </w:pPr>
            <w:r>
              <w:rPr>
                <w:rFonts w:hint="eastAsia" w:ascii="宋体" w:hAnsi="宋体" w:cs="宋体"/>
                <w:kern w:val="0"/>
                <w:szCs w:val="21"/>
              </w:rPr>
              <w:t>1</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3EAC7598">
            <w:pPr>
              <w:jc w:val="center"/>
              <w:rPr>
                <w:rFonts w:ascii="宋体" w:hAnsi="宋体" w:cs="宋体"/>
                <w:szCs w:val="21"/>
              </w:rPr>
            </w:pPr>
            <w:r>
              <w:rPr>
                <w:rFonts w:hint="eastAsia" w:ascii="宋体" w:hAnsi="宋体" w:cs="宋体"/>
                <w:szCs w:val="21"/>
              </w:rPr>
              <w:t>重组禽流感病毒（H5+H7）三价灭活疫苗（H5N6 H5Re-13株+ H5N8 H5Re-14 株， H7N9 H7-Re4株）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ascii="宋体" w:hAnsi="宋体" w:cs="宋体"/>
                <w:kern w:val="0"/>
                <w:szCs w:val="21"/>
              </w:rPr>
            </w:pPr>
          </w:p>
        </w:tc>
      </w:tr>
      <w:tr w14:paraId="0A2E56D4">
        <w:tblPrEx>
          <w:tblCellMar>
            <w:top w:w="0" w:type="dxa"/>
            <w:left w:w="108" w:type="dxa"/>
            <w:bottom w:w="0" w:type="dxa"/>
            <w:right w:w="108" w:type="dxa"/>
          </w:tblCellMar>
        </w:tblPrEx>
        <w:trPr>
          <w:trHeight w:val="3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A04D4EF">
            <w:pPr>
              <w:spacing w:line="360" w:lineRule="exact"/>
              <w:jc w:val="center"/>
              <w:textAlignment w:val="center"/>
              <w:rPr>
                <w:rFonts w:ascii="宋体" w:hAnsi="宋体" w:cs="宋体"/>
                <w:kern w:val="0"/>
                <w:szCs w:val="21"/>
              </w:rPr>
            </w:pPr>
            <w:r>
              <w:rPr>
                <w:rFonts w:hint="eastAsia" w:ascii="宋体" w:hAnsi="宋体" w:cs="宋体"/>
                <w:kern w:val="0"/>
                <w:szCs w:val="21"/>
              </w:rPr>
              <w:t>2</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2A49EA2E">
            <w:pPr>
              <w:jc w:val="center"/>
              <w:rPr>
                <w:rFonts w:ascii="宋体" w:hAnsi="宋体" w:cs="宋体"/>
                <w:szCs w:val="21"/>
              </w:rPr>
            </w:pPr>
            <w:r>
              <w:rPr>
                <w:rFonts w:hint="eastAsia" w:ascii="宋体" w:hAnsi="宋体" w:cs="宋体"/>
                <w:szCs w:val="21"/>
              </w:rPr>
              <w:t>重组禽流感病毒（H5+H7）三价灭活疫苗（H5N2 rHN5801株+ rGD59株，H7N9 rHN7903株）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6570DFD6">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35E8019A">
            <w:pPr>
              <w:spacing w:line="360" w:lineRule="exact"/>
              <w:jc w:val="center"/>
              <w:textAlignment w:val="center"/>
              <w:rPr>
                <w:rFonts w:ascii="宋体" w:hAnsi="宋体" w:cs="宋体"/>
                <w:kern w:val="0"/>
                <w:szCs w:val="21"/>
              </w:rPr>
            </w:pPr>
          </w:p>
        </w:tc>
      </w:tr>
      <w:tr w14:paraId="4878DE8D">
        <w:tblPrEx>
          <w:tblCellMar>
            <w:top w:w="0" w:type="dxa"/>
            <w:left w:w="108" w:type="dxa"/>
            <w:bottom w:w="0" w:type="dxa"/>
            <w:right w:w="108" w:type="dxa"/>
          </w:tblCellMar>
        </w:tblPrEx>
        <w:trPr>
          <w:trHeight w:val="3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0060D79">
            <w:pPr>
              <w:spacing w:line="360" w:lineRule="exact"/>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6EEC4914">
            <w:pPr>
              <w:jc w:val="center"/>
              <w:rPr>
                <w:rFonts w:hint="eastAsia" w:ascii="宋体" w:hAnsi="宋体" w:cs="宋体"/>
                <w:szCs w:val="21"/>
              </w:rPr>
            </w:pPr>
            <w:r>
              <w:rPr>
                <w:rFonts w:hint="eastAsia" w:ascii="宋体" w:hAnsi="宋体" w:cs="宋体"/>
                <w:szCs w:val="21"/>
              </w:rPr>
              <w:t>口蹄疫O型、A型二价3B蛋白表位缺失灭活疫苗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3B8B880A">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79CB5C00">
            <w:pPr>
              <w:spacing w:line="360" w:lineRule="exact"/>
              <w:jc w:val="center"/>
              <w:textAlignment w:val="center"/>
              <w:rPr>
                <w:rFonts w:ascii="宋体" w:hAnsi="宋体" w:cs="宋体"/>
                <w:kern w:val="0"/>
                <w:szCs w:val="21"/>
              </w:rPr>
            </w:pPr>
          </w:p>
        </w:tc>
      </w:tr>
      <w:tr w14:paraId="79A63EFC">
        <w:tblPrEx>
          <w:tblCellMar>
            <w:top w:w="0" w:type="dxa"/>
            <w:left w:w="108" w:type="dxa"/>
            <w:bottom w:w="0" w:type="dxa"/>
            <w:right w:w="108" w:type="dxa"/>
          </w:tblCellMar>
        </w:tblPrEx>
        <w:trPr>
          <w:trHeight w:val="3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C806259">
            <w:pPr>
              <w:spacing w:line="360" w:lineRule="exact"/>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0026AE14">
            <w:pPr>
              <w:jc w:val="center"/>
              <w:rPr>
                <w:rFonts w:hint="eastAsia" w:ascii="宋体" w:hAnsi="宋体" w:cs="宋体"/>
                <w:szCs w:val="21"/>
              </w:rPr>
            </w:pPr>
            <w:r>
              <w:rPr>
                <w:rFonts w:hint="eastAsia" w:ascii="宋体" w:hAnsi="宋体" w:cs="宋体"/>
                <w:szCs w:val="21"/>
              </w:rPr>
              <w:t>高致病性猪繁殖与呼吸综合征活疫苗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7DD275EC">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23CFA9C4">
            <w:pPr>
              <w:spacing w:line="360" w:lineRule="exact"/>
              <w:jc w:val="center"/>
              <w:textAlignment w:val="center"/>
              <w:rPr>
                <w:rFonts w:ascii="宋体" w:hAnsi="宋体" w:cs="宋体"/>
                <w:kern w:val="0"/>
                <w:szCs w:val="21"/>
              </w:rPr>
            </w:pPr>
          </w:p>
        </w:tc>
      </w:tr>
      <w:tr w14:paraId="7CC7549A">
        <w:tblPrEx>
          <w:tblCellMar>
            <w:top w:w="0" w:type="dxa"/>
            <w:left w:w="108" w:type="dxa"/>
            <w:bottom w:w="0" w:type="dxa"/>
            <w:right w:w="108" w:type="dxa"/>
          </w:tblCellMar>
        </w:tblPrEx>
        <w:trPr>
          <w:trHeight w:val="3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A190789">
            <w:pPr>
              <w:spacing w:line="360" w:lineRule="exact"/>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5A626ACE">
            <w:pPr>
              <w:jc w:val="center"/>
              <w:rPr>
                <w:rFonts w:hint="eastAsia" w:ascii="宋体" w:hAnsi="宋体" w:cs="宋体"/>
                <w:szCs w:val="21"/>
              </w:rPr>
            </w:pPr>
            <w:r>
              <w:rPr>
                <w:rFonts w:hint="eastAsia" w:ascii="宋体" w:hAnsi="宋体" w:cs="宋体"/>
                <w:szCs w:val="21"/>
              </w:rPr>
              <w:t>山羊痘活疫苗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5548A417">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731FA51D">
            <w:pPr>
              <w:spacing w:line="360" w:lineRule="exact"/>
              <w:jc w:val="center"/>
              <w:textAlignment w:val="center"/>
              <w:rPr>
                <w:rFonts w:ascii="宋体" w:hAnsi="宋体" w:cs="宋体"/>
                <w:kern w:val="0"/>
                <w:szCs w:val="21"/>
              </w:rPr>
            </w:pPr>
          </w:p>
        </w:tc>
      </w:tr>
    </w:tbl>
    <w:p w14:paraId="0F55F6C6">
      <w:pPr>
        <w:spacing w:line="360" w:lineRule="auto"/>
        <w:rPr>
          <w:rFonts w:ascii="宋体" w:hAnsi="宋体"/>
          <w:b/>
        </w:rPr>
      </w:pPr>
      <w:r>
        <w:rPr>
          <w:rFonts w:hint="eastAsia" w:ascii="宋体" w:hAnsi="宋体"/>
          <w:b/>
          <w:szCs w:val="21"/>
        </w:rPr>
        <w:t>4、</w:t>
      </w:r>
      <w:r>
        <w:rPr>
          <w:rFonts w:ascii="宋体" w:hAnsi="宋体"/>
          <w:b/>
        </w:rPr>
        <w:t>市场供给情况</w:t>
      </w:r>
      <w:r>
        <w:rPr>
          <w:rFonts w:hint="eastAsia" w:ascii="宋体" w:hAnsi="宋体"/>
          <w:b/>
        </w:rPr>
        <w:t>：</w:t>
      </w:r>
      <w:r>
        <w:rPr>
          <w:rFonts w:hint="eastAsia" w:ascii="宋体" w:hAnsi="宋体"/>
        </w:rPr>
        <w:t>（选填有参与意向的标的）</w:t>
      </w:r>
    </w:p>
    <w:tbl>
      <w:tblPr>
        <w:tblStyle w:val="7"/>
        <w:tblW w:w="9390" w:type="dxa"/>
        <w:jc w:val="center"/>
        <w:tblLayout w:type="fixed"/>
        <w:tblCellMar>
          <w:top w:w="0" w:type="dxa"/>
          <w:left w:w="108" w:type="dxa"/>
          <w:bottom w:w="0" w:type="dxa"/>
          <w:right w:w="108" w:type="dxa"/>
        </w:tblCellMar>
      </w:tblPr>
      <w:tblGrid>
        <w:gridCol w:w="696"/>
        <w:gridCol w:w="2572"/>
        <w:gridCol w:w="5046"/>
        <w:gridCol w:w="1076"/>
      </w:tblGrid>
      <w:tr w14:paraId="7039F353">
        <w:tblPrEx>
          <w:tblCellMar>
            <w:top w:w="0" w:type="dxa"/>
            <w:left w:w="108" w:type="dxa"/>
            <w:bottom w:w="0" w:type="dxa"/>
            <w:right w:w="108" w:type="dxa"/>
          </w:tblCellMar>
        </w:tblPrEx>
        <w:trPr>
          <w:trHeight w:val="34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8A91D1">
            <w:pPr>
              <w:spacing w:line="360" w:lineRule="exact"/>
              <w:jc w:val="center"/>
              <w:textAlignment w:val="center"/>
              <w:rPr>
                <w:rFonts w:ascii="宋体" w:hAnsi="宋体" w:cs="宋体"/>
                <w:kern w:val="0"/>
                <w:szCs w:val="21"/>
              </w:rPr>
            </w:pPr>
            <w:r>
              <w:rPr>
                <w:rFonts w:ascii="宋体" w:hAnsi="宋体" w:cs="宋体"/>
                <w:kern w:val="0"/>
                <w:szCs w:val="21"/>
              </w:rPr>
              <w:t>序号</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262393E8">
            <w:pPr>
              <w:spacing w:line="360" w:lineRule="exact"/>
              <w:jc w:val="center"/>
              <w:textAlignment w:val="center"/>
              <w:rPr>
                <w:rFonts w:ascii="宋体" w:hAnsi="宋体" w:cs="宋体"/>
                <w:kern w:val="0"/>
                <w:szCs w:val="21"/>
              </w:rPr>
            </w:pPr>
            <w:r>
              <w:rPr>
                <w:rFonts w:hint="eastAsia" w:ascii="宋体" w:hAnsi="宋体" w:cs="宋体"/>
                <w:kern w:val="0"/>
                <w:szCs w:val="21"/>
              </w:rPr>
              <w:t>标的</w:t>
            </w:r>
            <w:r>
              <w:rPr>
                <w:rFonts w:ascii="宋体" w:hAnsi="宋体" w:cs="宋体"/>
                <w:kern w:val="0"/>
                <w:szCs w:val="21"/>
              </w:rPr>
              <w:t>名称</w:t>
            </w:r>
          </w:p>
        </w:tc>
        <w:tc>
          <w:tcPr>
            <w:tcW w:w="5046" w:type="dxa"/>
            <w:tcBorders>
              <w:top w:val="single" w:color="000000" w:sz="4" w:space="0"/>
              <w:left w:val="single" w:color="000000" w:sz="4" w:space="0"/>
              <w:bottom w:val="single" w:color="000000" w:sz="4" w:space="0"/>
              <w:right w:val="single" w:color="auto" w:sz="4" w:space="0"/>
            </w:tcBorders>
            <w:noWrap/>
            <w:vAlign w:val="center"/>
          </w:tcPr>
          <w:p w14:paraId="659AD159">
            <w:pPr>
              <w:spacing w:line="360" w:lineRule="exact"/>
              <w:jc w:val="center"/>
              <w:textAlignment w:val="center"/>
              <w:rPr>
                <w:rFonts w:ascii="宋体" w:hAnsi="宋体" w:cs="宋体"/>
                <w:kern w:val="0"/>
                <w:szCs w:val="21"/>
              </w:rPr>
            </w:pPr>
            <w:r>
              <w:rPr>
                <w:rFonts w:ascii="宋体" w:hAnsi="宋体"/>
              </w:rPr>
              <w:t>市场供给情况</w:t>
            </w:r>
          </w:p>
        </w:tc>
        <w:tc>
          <w:tcPr>
            <w:tcW w:w="1076" w:type="dxa"/>
            <w:tcBorders>
              <w:top w:val="single" w:color="000000" w:sz="4" w:space="0"/>
              <w:left w:val="single" w:color="auto" w:sz="4" w:space="0"/>
              <w:bottom w:val="single" w:color="000000" w:sz="4" w:space="0"/>
              <w:right w:val="single" w:color="000000" w:sz="4" w:space="0"/>
            </w:tcBorders>
            <w:noWrap/>
            <w:vAlign w:val="center"/>
          </w:tcPr>
          <w:p w14:paraId="728812E7">
            <w:pPr>
              <w:spacing w:line="360" w:lineRule="exact"/>
              <w:jc w:val="center"/>
              <w:textAlignment w:val="center"/>
              <w:rPr>
                <w:rFonts w:ascii="宋体" w:hAnsi="宋体" w:cs="宋体"/>
                <w:kern w:val="0"/>
                <w:szCs w:val="21"/>
              </w:rPr>
            </w:pPr>
            <w:r>
              <w:rPr>
                <w:rFonts w:ascii="宋体" w:hAnsi="宋体" w:cs="宋体"/>
                <w:kern w:val="0"/>
                <w:szCs w:val="21"/>
              </w:rPr>
              <w:t>备注</w:t>
            </w:r>
          </w:p>
        </w:tc>
      </w:tr>
      <w:tr w14:paraId="1CC3A99C">
        <w:tblPrEx>
          <w:tblCellMar>
            <w:top w:w="0" w:type="dxa"/>
            <w:left w:w="108" w:type="dxa"/>
            <w:bottom w:w="0" w:type="dxa"/>
            <w:right w:w="108" w:type="dxa"/>
          </w:tblCellMar>
        </w:tblPrEx>
        <w:trPr>
          <w:trHeight w:val="34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E53643">
            <w:pPr>
              <w:spacing w:line="360" w:lineRule="exact"/>
              <w:jc w:val="center"/>
              <w:textAlignment w:val="center"/>
              <w:rPr>
                <w:rFonts w:ascii="宋体" w:hAnsi="宋体" w:cs="宋体"/>
                <w:kern w:val="0"/>
                <w:szCs w:val="21"/>
              </w:rPr>
            </w:pPr>
            <w:r>
              <w:rPr>
                <w:rFonts w:hint="eastAsia" w:ascii="宋体" w:hAnsi="宋体" w:cs="宋体"/>
                <w:kern w:val="0"/>
                <w:szCs w:val="21"/>
              </w:rPr>
              <w:t>1</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40FFF3F0">
            <w:pPr>
              <w:jc w:val="center"/>
              <w:rPr>
                <w:rFonts w:ascii="宋体" w:hAnsi="宋体" w:cs="宋体"/>
                <w:szCs w:val="21"/>
              </w:rPr>
            </w:pPr>
            <w:r>
              <w:rPr>
                <w:rFonts w:hint="eastAsia" w:ascii="宋体" w:hAnsi="宋体" w:cs="宋体"/>
                <w:szCs w:val="21"/>
              </w:rPr>
              <w:t>重组禽流感病毒（H5+H7）三价灭活疫苗（H5N6 H5Re-13株+ H5N8 H5Re-14 株， H7N9 H7-Re4株）</w:t>
            </w:r>
          </w:p>
        </w:tc>
        <w:tc>
          <w:tcPr>
            <w:tcW w:w="5046" w:type="dxa"/>
            <w:tcBorders>
              <w:top w:val="single" w:color="000000" w:sz="4" w:space="0"/>
              <w:left w:val="single" w:color="000000" w:sz="4" w:space="0"/>
              <w:bottom w:val="single" w:color="000000" w:sz="4" w:space="0"/>
              <w:right w:val="single" w:color="auto" w:sz="4" w:space="0"/>
            </w:tcBorders>
            <w:noWrap/>
            <w:vAlign w:val="center"/>
          </w:tcPr>
          <w:p w14:paraId="4409B1ED">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240DD1F1">
            <w:pPr>
              <w:spacing w:line="360" w:lineRule="exact"/>
              <w:jc w:val="center"/>
              <w:textAlignment w:val="center"/>
              <w:rPr>
                <w:rFonts w:ascii="宋体" w:hAnsi="宋体" w:cs="宋体"/>
                <w:kern w:val="0"/>
                <w:szCs w:val="21"/>
              </w:rPr>
            </w:pPr>
          </w:p>
        </w:tc>
      </w:tr>
      <w:tr w14:paraId="7D66BB16">
        <w:tblPrEx>
          <w:tblCellMar>
            <w:top w:w="0" w:type="dxa"/>
            <w:left w:w="108" w:type="dxa"/>
            <w:bottom w:w="0" w:type="dxa"/>
            <w:right w:w="108" w:type="dxa"/>
          </w:tblCellMar>
        </w:tblPrEx>
        <w:trPr>
          <w:trHeight w:val="34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5703E6">
            <w:pPr>
              <w:spacing w:line="360" w:lineRule="exact"/>
              <w:jc w:val="center"/>
              <w:textAlignment w:val="center"/>
              <w:rPr>
                <w:rFonts w:ascii="宋体" w:hAnsi="宋体" w:cs="宋体"/>
                <w:kern w:val="0"/>
                <w:szCs w:val="21"/>
              </w:rPr>
            </w:pPr>
            <w:r>
              <w:rPr>
                <w:rFonts w:hint="eastAsia" w:ascii="宋体" w:hAnsi="宋体" w:cs="宋体"/>
                <w:kern w:val="0"/>
                <w:szCs w:val="21"/>
              </w:rPr>
              <w:t>2</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508F60F1">
            <w:pPr>
              <w:jc w:val="center"/>
              <w:rPr>
                <w:rFonts w:ascii="宋体" w:hAnsi="宋体" w:cs="宋体"/>
                <w:szCs w:val="21"/>
              </w:rPr>
            </w:pPr>
            <w:r>
              <w:rPr>
                <w:rFonts w:hint="eastAsia" w:ascii="宋体" w:hAnsi="宋体" w:cs="宋体"/>
                <w:szCs w:val="21"/>
              </w:rPr>
              <w:t>重组禽流感病毒（H5+H7）三价灭活疫苗（H5N2 rHN5801株+ rGD59株，H7N9 rHN7903株）</w:t>
            </w:r>
          </w:p>
        </w:tc>
        <w:tc>
          <w:tcPr>
            <w:tcW w:w="5046" w:type="dxa"/>
            <w:tcBorders>
              <w:top w:val="single" w:color="000000" w:sz="4" w:space="0"/>
              <w:left w:val="single" w:color="000000" w:sz="4" w:space="0"/>
              <w:bottom w:val="single" w:color="000000" w:sz="4" w:space="0"/>
              <w:right w:val="single" w:color="auto" w:sz="4" w:space="0"/>
            </w:tcBorders>
            <w:noWrap/>
            <w:vAlign w:val="center"/>
          </w:tcPr>
          <w:p w14:paraId="0276BAB2">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23447B73">
            <w:pPr>
              <w:spacing w:line="360" w:lineRule="exact"/>
              <w:jc w:val="center"/>
              <w:textAlignment w:val="center"/>
              <w:rPr>
                <w:rFonts w:ascii="宋体" w:hAnsi="宋体" w:cs="宋体"/>
                <w:kern w:val="0"/>
                <w:szCs w:val="21"/>
              </w:rPr>
            </w:pPr>
          </w:p>
        </w:tc>
      </w:tr>
      <w:tr w14:paraId="6864E680">
        <w:tblPrEx>
          <w:tblCellMar>
            <w:top w:w="0" w:type="dxa"/>
            <w:left w:w="108" w:type="dxa"/>
            <w:bottom w:w="0" w:type="dxa"/>
            <w:right w:w="108" w:type="dxa"/>
          </w:tblCellMar>
        </w:tblPrEx>
        <w:trPr>
          <w:trHeight w:val="34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48F221C">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3</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4EBCB733">
            <w:pPr>
              <w:jc w:val="center"/>
              <w:rPr>
                <w:rFonts w:hint="eastAsia" w:ascii="宋体" w:hAnsi="宋体" w:cs="宋体"/>
                <w:szCs w:val="21"/>
              </w:rPr>
            </w:pPr>
            <w:r>
              <w:rPr>
                <w:rFonts w:hint="eastAsia" w:ascii="宋体" w:hAnsi="宋体" w:cs="宋体"/>
                <w:szCs w:val="21"/>
              </w:rPr>
              <w:t>口蹄疫O型、A型二价3B蛋白表位缺失灭活疫苗</w:t>
            </w:r>
          </w:p>
        </w:tc>
        <w:tc>
          <w:tcPr>
            <w:tcW w:w="5046" w:type="dxa"/>
            <w:tcBorders>
              <w:top w:val="single" w:color="000000" w:sz="4" w:space="0"/>
              <w:left w:val="single" w:color="000000" w:sz="4" w:space="0"/>
              <w:bottom w:val="single" w:color="000000" w:sz="4" w:space="0"/>
              <w:right w:val="single" w:color="auto" w:sz="4" w:space="0"/>
            </w:tcBorders>
            <w:noWrap/>
            <w:vAlign w:val="center"/>
          </w:tcPr>
          <w:p w14:paraId="1467F4B0">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5E23C760">
            <w:pPr>
              <w:spacing w:line="360" w:lineRule="exact"/>
              <w:jc w:val="center"/>
              <w:textAlignment w:val="center"/>
              <w:rPr>
                <w:rFonts w:ascii="宋体" w:hAnsi="宋体" w:cs="宋体"/>
                <w:kern w:val="0"/>
                <w:szCs w:val="21"/>
              </w:rPr>
            </w:pPr>
          </w:p>
        </w:tc>
      </w:tr>
      <w:tr w14:paraId="6FEF93F8">
        <w:tblPrEx>
          <w:tblCellMar>
            <w:top w:w="0" w:type="dxa"/>
            <w:left w:w="108" w:type="dxa"/>
            <w:bottom w:w="0" w:type="dxa"/>
            <w:right w:w="108" w:type="dxa"/>
          </w:tblCellMar>
        </w:tblPrEx>
        <w:trPr>
          <w:trHeight w:val="34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2FA40A6">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4</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467C0762">
            <w:pPr>
              <w:jc w:val="center"/>
              <w:rPr>
                <w:rFonts w:hint="eastAsia" w:ascii="宋体" w:hAnsi="宋体" w:cs="宋体"/>
                <w:szCs w:val="21"/>
              </w:rPr>
            </w:pPr>
            <w:r>
              <w:rPr>
                <w:rFonts w:hint="eastAsia" w:ascii="宋体" w:hAnsi="宋体" w:cs="宋体"/>
                <w:szCs w:val="21"/>
              </w:rPr>
              <w:t>高致病性猪繁殖与呼吸综合征活疫苗</w:t>
            </w:r>
          </w:p>
        </w:tc>
        <w:tc>
          <w:tcPr>
            <w:tcW w:w="5046" w:type="dxa"/>
            <w:tcBorders>
              <w:top w:val="single" w:color="000000" w:sz="4" w:space="0"/>
              <w:left w:val="single" w:color="000000" w:sz="4" w:space="0"/>
              <w:bottom w:val="single" w:color="000000" w:sz="4" w:space="0"/>
              <w:right w:val="single" w:color="auto" w:sz="4" w:space="0"/>
            </w:tcBorders>
            <w:noWrap/>
            <w:vAlign w:val="center"/>
          </w:tcPr>
          <w:p w14:paraId="61EEC85D">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30B0B5E0">
            <w:pPr>
              <w:spacing w:line="360" w:lineRule="exact"/>
              <w:jc w:val="center"/>
              <w:textAlignment w:val="center"/>
              <w:rPr>
                <w:rFonts w:ascii="宋体" w:hAnsi="宋体" w:cs="宋体"/>
                <w:kern w:val="0"/>
                <w:szCs w:val="21"/>
              </w:rPr>
            </w:pPr>
          </w:p>
        </w:tc>
      </w:tr>
      <w:tr w14:paraId="530BE4B1">
        <w:tblPrEx>
          <w:tblCellMar>
            <w:top w:w="0" w:type="dxa"/>
            <w:left w:w="108" w:type="dxa"/>
            <w:bottom w:w="0" w:type="dxa"/>
            <w:right w:w="108" w:type="dxa"/>
          </w:tblCellMar>
        </w:tblPrEx>
        <w:trPr>
          <w:trHeight w:val="34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03205E">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5</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29408F3A">
            <w:pPr>
              <w:jc w:val="center"/>
              <w:rPr>
                <w:rFonts w:hint="eastAsia" w:ascii="宋体" w:hAnsi="宋体" w:cs="宋体"/>
                <w:szCs w:val="21"/>
              </w:rPr>
            </w:pPr>
            <w:r>
              <w:rPr>
                <w:rFonts w:hint="eastAsia" w:ascii="宋体" w:hAnsi="宋体" w:cs="宋体"/>
                <w:szCs w:val="21"/>
              </w:rPr>
              <w:t>山羊痘活疫苗</w:t>
            </w:r>
          </w:p>
        </w:tc>
        <w:tc>
          <w:tcPr>
            <w:tcW w:w="5046" w:type="dxa"/>
            <w:tcBorders>
              <w:top w:val="single" w:color="000000" w:sz="4" w:space="0"/>
              <w:left w:val="single" w:color="000000" w:sz="4" w:space="0"/>
              <w:bottom w:val="single" w:color="000000" w:sz="4" w:space="0"/>
              <w:right w:val="single" w:color="auto" w:sz="4" w:space="0"/>
            </w:tcBorders>
            <w:noWrap/>
            <w:vAlign w:val="center"/>
          </w:tcPr>
          <w:p w14:paraId="49713405">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06938F96">
            <w:pPr>
              <w:spacing w:line="360" w:lineRule="exact"/>
              <w:jc w:val="center"/>
              <w:textAlignment w:val="center"/>
              <w:rPr>
                <w:rFonts w:ascii="宋体" w:hAnsi="宋体" w:cs="宋体"/>
                <w:kern w:val="0"/>
                <w:szCs w:val="21"/>
              </w:rPr>
            </w:pPr>
          </w:p>
        </w:tc>
      </w:tr>
    </w:tbl>
    <w:p w14:paraId="3E8F1795">
      <w:pPr>
        <w:spacing w:line="360" w:lineRule="auto"/>
        <w:rPr>
          <w:rFonts w:ascii="宋体" w:hAnsi="宋体"/>
        </w:rPr>
      </w:pPr>
      <w:r>
        <w:rPr>
          <w:rFonts w:hint="eastAsia" w:ascii="宋体" w:hAnsi="宋体"/>
          <w:b/>
          <w:szCs w:val="21"/>
        </w:rPr>
        <w:t>5、</w:t>
      </w:r>
      <w:r>
        <w:rPr>
          <w:rFonts w:ascii="宋体" w:hAnsi="宋体"/>
          <w:b/>
        </w:rPr>
        <w:t>同类采购项目历史成交信息</w:t>
      </w:r>
      <w:r>
        <w:rPr>
          <w:rFonts w:hint="eastAsia" w:ascii="宋体" w:hAnsi="宋体"/>
          <w:b/>
        </w:rPr>
        <w:t>：</w:t>
      </w:r>
      <w:r>
        <w:rPr>
          <w:rFonts w:hint="eastAsia" w:ascii="宋体" w:hAnsi="宋体"/>
        </w:rPr>
        <w:t>（选填有参与意向的标的）</w:t>
      </w:r>
    </w:p>
    <w:tbl>
      <w:tblPr>
        <w:tblStyle w:val="7"/>
        <w:tblW w:w="9572" w:type="dxa"/>
        <w:jc w:val="center"/>
        <w:tblLayout w:type="fixed"/>
        <w:tblCellMar>
          <w:top w:w="0" w:type="dxa"/>
          <w:left w:w="108" w:type="dxa"/>
          <w:bottom w:w="0" w:type="dxa"/>
          <w:right w:w="108" w:type="dxa"/>
        </w:tblCellMar>
      </w:tblPr>
      <w:tblGrid>
        <w:gridCol w:w="730"/>
        <w:gridCol w:w="2572"/>
        <w:gridCol w:w="5194"/>
        <w:gridCol w:w="1076"/>
      </w:tblGrid>
      <w:tr w14:paraId="139D1088">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5943362E">
            <w:pPr>
              <w:spacing w:line="360" w:lineRule="exact"/>
              <w:jc w:val="center"/>
              <w:textAlignment w:val="center"/>
              <w:rPr>
                <w:rFonts w:ascii="宋体" w:hAnsi="宋体" w:cs="宋体"/>
                <w:kern w:val="0"/>
                <w:szCs w:val="21"/>
              </w:rPr>
            </w:pPr>
            <w:r>
              <w:rPr>
                <w:rFonts w:ascii="宋体" w:hAnsi="宋体" w:cs="宋体"/>
                <w:kern w:val="0"/>
                <w:szCs w:val="21"/>
              </w:rPr>
              <w:t>序号</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527691CE">
            <w:pPr>
              <w:spacing w:line="360" w:lineRule="exact"/>
              <w:jc w:val="center"/>
              <w:textAlignment w:val="center"/>
              <w:rPr>
                <w:rFonts w:ascii="宋体" w:hAnsi="宋体" w:cs="宋体"/>
                <w:kern w:val="0"/>
                <w:szCs w:val="21"/>
              </w:rPr>
            </w:pPr>
            <w:r>
              <w:rPr>
                <w:rFonts w:hint="eastAsia" w:ascii="宋体" w:hAnsi="宋体" w:cs="宋体"/>
                <w:kern w:val="0"/>
                <w:szCs w:val="21"/>
              </w:rPr>
              <w:t>标的</w:t>
            </w:r>
            <w:r>
              <w:rPr>
                <w:rFonts w:ascii="宋体" w:hAnsi="宋体" w:cs="宋体"/>
                <w:kern w:val="0"/>
                <w:szCs w:val="21"/>
              </w:rPr>
              <w:t>名称</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157D10FE">
            <w:pPr>
              <w:spacing w:line="360" w:lineRule="exact"/>
              <w:jc w:val="center"/>
              <w:textAlignment w:val="center"/>
              <w:rPr>
                <w:rFonts w:ascii="宋体" w:hAnsi="宋体" w:cs="宋体"/>
                <w:kern w:val="0"/>
                <w:szCs w:val="21"/>
              </w:rPr>
            </w:pPr>
            <w:r>
              <w:rPr>
                <w:rFonts w:ascii="宋体" w:hAnsi="宋体"/>
              </w:rPr>
              <w:t>同类采购项目历史成交信息</w:t>
            </w:r>
          </w:p>
        </w:tc>
        <w:tc>
          <w:tcPr>
            <w:tcW w:w="1076" w:type="dxa"/>
            <w:tcBorders>
              <w:top w:val="single" w:color="000000" w:sz="4" w:space="0"/>
              <w:left w:val="single" w:color="auto" w:sz="4" w:space="0"/>
              <w:bottom w:val="single" w:color="000000" w:sz="4" w:space="0"/>
              <w:right w:val="single" w:color="000000" w:sz="4" w:space="0"/>
            </w:tcBorders>
            <w:noWrap/>
            <w:vAlign w:val="center"/>
          </w:tcPr>
          <w:p w14:paraId="1EB8B683">
            <w:pPr>
              <w:spacing w:line="360" w:lineRule="exact"/>
              <w:jc w:val="center"/>
              <w:textAlignment w:val="center"/>
              <w:rPr>
                <w:rFonts w:ascii="宋体" w:hAnsi="宋体" w:cs="宋体"/>
                <w:kern w:val="0"/>
                <w:szCs w:val="21"/>
              </w:rPr>
            </w:pPr>
            <w:r>
              <w:rPr>
                <w:rFonts w:ascii="宋体" w:hAnsi="宋体" w:cs="宋体"/>
                <w:kern w:val="0"/>
                <w:szCs w:val="21"/>
              </w:rPr>
              <w:t>备注</w:t>
            </w:r>
          </w:p>
        </w:tc>
      </w:tr>
      <w:tr w14:paraId="17DA5EE2">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7F340ACB">
            <w:pPr>
              <w:spacing w:line="360" w:lineRule="exact"/>
              <w:jc w:val="center"/>
              <w:textAlignment w:val="center"/>
              <w:rPr>
                <w:rFonts w:ascii="宋体" w:hAnsi="宋体" w:cs="宋体"/>
                <w:kern w:val="0"/>
                <w:szCs w:val="21"/>
              </w:rPr>
            </w:pPr>
            <w:r>
              <w:rPr>
                <w:rFonts w:hint="eastAsia" w:ascii="宋体" w:hAnsi="宋体" w:cs="宋体"/>
                <w:kern w:val="0"/>
                <w:szCs w:val="21"/>
              </w:rPr>
              <w:t>1</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40609791">
            <w:pPr>
              <w:jc w:val="center"/>
              <w:rPr>
                <w:rFonts w:ascii="宋体" w:hAnsi="宋体" w:cs="宋体"/>
                <w:szCs w:val="21"/>
              </w:rPr>
            </w:pPr>
            <w:r>
              <w:rPr>
                <w:rFonts w:hint="eastAsia" w:ascii="宋体" w:hAnsi="宋体" w:cs="宋体"/>
                <w:szCs w:val="21"/>
              </w:rPr>
              <w:t>重组禽流感病毒（H5+H7）三价灭活疫苗（H5N6 H5Re-13株+ H5N8 H5Re-14 株， H7N9 H7-Re4株）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2A6757B8">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150158ED">
            <w:pPr>
              <w:spacing w:line="360" w:lineRule="exact"/>
              <w:jc w:val="center"/>
              <w:textAlignment w:val="center"/>
              <w:rPr>
                <w:rFonts w:ascii="宋体" w:hAnsi="宋体" w:cs="宋体"/>
                <w:kern w:val="0"/>
                <w:szCs w:val="21"/>
              </w:rPr>
            </w:pPr>
          </w:p>
        </w:tc>
      </w:tr>
      <w:tr w14:paraId="706D47AD">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2050CFBF">
            <w:pPr>
              <w:spacing w:line="360" w:lineRule="exact"/>
              <w:jc w:val="center"/>
              <w:textAlignment w:val="center"/>
              <w:rPr>
                <w:rFonts w:ascii="宋体" w:hAnsi="宋体" w:cs="宋体"/>
                <w:kern w:val="0"/>
                <w:szCs w:val="21"/>
              </w:rPr>
            </w:pPr>
            <w:r>
              <w:rPr>
                <w:rFonts w:hint="eastAsia" w:ascii="宋体" w:hAnsi="宋体" w:cs="宋体"/>
                <w:kern w:val="0"/>
                <w:szCs w:val="21"/>
              </w:rPr>
              <w:t>2</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7994FF09">
            <w:pPr>
              <w:jc w:val="center"/>
              <w:rPr>
                <w:rFonts w:ascii="宋体" w:hAnsi="宋体" w:cs="宋体"/>
                <w:szCs w:val="21"/>
              </w:rPr>
            </w:pPr>
            <w:r>
              <w:rPr>
                <w:rFonts w:hint="eastAsia" w:ascii="宋体" w:hAnsi="宋体" w:cs="宋体"/>
                <w:szCs w:val="21"/>
              </w:rPr>
              <w:t>重组禽流感病毒（H5+H7）三价灭活疫苗（H5N2 rHN5801株+ rGD59株，H7N9 rHN7903株）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24492468">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19CEB760">
            <w:pPr>
              <w:spacing w:line="360" w:lineRule="exact"/>
              <w:jc w:val="center"/>
              <w:textAlignment w:val="center"/>
              <w:rPr>
                <w:rFonts w:ascii="宋体" w:hAnsi="宋体" w:cs="宋体"/>
                <w:kern w:val="0"/>
                <w:szCs w:val="21"/>
              </w:rPr>
            </w:pPr>
          </w:p>
        </w:tc>
      </w:tr>
      <w:tr w14:paraId="789CB016">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5C7C981D">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3</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1E8F9594">
            <w:pPr>
              <w:jc w:val="center"/>
              <w:rPr>
                <w:rFonts w:hint="eastAsia" w:ascii="宋体" w:hAnsi="宋体" w:cs="宋体"/>
                <w:szCs w:val="21"/>
              </w:rPr>
            </w:pPr>
            <w:r>
              <w:rPr>
                <w:rFonts w:hint="eastAsia" w:ascii="宋体" w:hAnsi="宋体" w:cs="宋体"/>
                <w:szCs w:val="21"/>
              </w:rPr>
              <w:t>口蹄疫O型、A型二价3B蛋白表位缺失灭活疫苗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502F75D7">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2E938CDF">
            <w:pPr>
              <w:spacing w:line="360" w:lineRule="exact"/>
              <w:jc w:val="center"/>
              <w:textAlignment w:val="center"/>
              <w:rPr>
                <w:rFonts w:ascii="宋体" w:hAnsi="宋体" w:cs="宋体"/>
                <w:kern w:val="0"/>
                <w:szCs w:val="21"/>
              </w:rPr>
            </w:pPr>
          </w:p>
        </w:tc>
      </w:tr>
      <w:tr w14:paraId="22D1ACD5">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5EF01DDE">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4</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7DB61D8E">
            <w:pPr>
              <w:jc w:val="center"/>
              <w:rPr>
                <w:rFonts w:hint="eastAsia" w:ascii="宋体" w:hAnsi="宋体" w:cs="宋体"/>
                <w:szCs w:val="21"/>
              </w:rPr>
            </w:pPr>
            <w:r>
              <w:rPr>
                <w:rFonts w:hint="eastAsia" w:ascii="宋体" w:hAnsi="宋体" w:cs="宋体"/>
                <w:szCs w:val="21"/>
              </w:rPr>
              <w:t>高致病性猪繁殖与呼吸综合征活疫苗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24513E55">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3FBD9AFD">
            <w:pPr>
              <w:spacing w:line="360" w:lineRule="exact"/>
              <w:jc w:val="center"/>
              <w:textAlignment w:val="center"/>
              <w:rPr>
                <w:rFonts w:ascii="宋体" w:hAnsi="宋体" w:cs="宋体"/>
                <w:kern w:val="0"/>
                <w:szCs w:val="21"/>
              </w:rPr>
            </w:pPr>
          </w:p>
        </w:tc>
      </w:tr>
      <w:tr w14:paraId="24407586">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64C1BF5A">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5</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6FBE7466">
            <w:pPr>
              <w:jc w:val="center"/>
              <w:rPr>
                <w:rFonts w:hint="eastAsia" w:ascii="宋体" w:hAnsi="宋体" w:cs="宋体"/>
                <w:szCs w:val="21"/>
              </w:rPr>
            </w:pPr>
            <w:r>
              <w:rPr>
                <w:rFonts w:hint="eastAsia" w:ascii="宋体" w:hAnsi="宋体" w:cs="宋体"/>
                <w:szCs w:val="21"/>
              </w:rPr>
              <w:t>山羊痘活疫苗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21CCBA32">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3624C97B">
            <w:pPr>
              <w:spacing w:line="360" w:lineRule="exact"/>
              <w:jc w:val="center"/>
              <w:textAlignment w:val="center"/>
              <w:rPr>
                <w:rFonts w:ascii="宋体" w:hAnsi="宋体" w:cs="宋体"/>
                <w:kern w:val="0"/>
                <w:szCs w:val="21"/>
              </w:rPr>
            </w:pPr>
          </w:p>
        </w:tc>
      </w:tr>
    </w:tbl>
    <w:p w14:paraId="1743321D">
      <w:pPr>
        <w:spacing w:line="360" w:lineRule="auto"/>
        <w:rPr>
          <w:rFonts w:ascii="宋体" w:hAnsi="宋体"/>
        </w:rPr>
      </w:pPr>
      <w:r>
        <w:rPr>
          <w:rFonts w:hint="eastAsia" w:ascii="宋体" w:hAnsi="宋体"/>
          <w:b/>
          <w:szCs w:val="21"/>
        </w:rPr>
        <w:t>6、</w:t>
      </w:r>
      <w:r>
        <w:rPr>
          <w:rFonts w:ascii="宋体" w:hAnsi="宋体"/>
          <w:b/>
        </w:rPr>
        <w:t>可能涉及的后续采购情况</w:t>
      </w:r>
      <w:r>
        <w:rPr>
          <w:rFonts w:hint="eastAsia" w:ascii="宋体" w:hAnsi="宋体"/>
          <w:b/>
        </w:rPr>
        <w:t>：</w:t>
      </w:r>
      <w:r>
        <w:rPr>
          <w:rFonts w:hint="eastAsia" w:ascii="宋体" w:hAnsi="宋体"/>
        </w:rPr>
        <w:t>（选填有参与意向的标的）</w:t>
      </w:r>
    </w:p>
    <w:tbl>
      <w:tblPr>
        <w:tblStyle w:val="7"/>
        <w:tblW w:w="9572" w:type="dxa"/>
        <w:jc w:val="center"/>
        <w:tblLayout w:type="fixed"/>
        <w:tblCellMar>
          <w:top w:w="0" w:type="dxa"/>
          <w:left w:w="108" w:type="dxa"/>
          <w:bottom w:w="0" w:type="dxa"/>
          <w:right w:w="108" w:type="dxa"/>
        </w:tblCellMar>
      </w:tblPr>
      <w:tblGrid>
        <w:gridCol w:w="730"/>
        <w:gridCol w:w="2572"/>
        <w:gridCol w:w="5194"/>
        <w:gridCol w:w="1076"/>
      </w:tblGrid>
      <w:tr w14:paraId="0AE4C155">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7DDE33B1">
            <w:pPr>
              <w:spacing w:line="360" w:lineRule="exact"/>
              <w:jc w:val="center"/>
              <w:textAlignment w:val="center"/>
              <w:rPr>
                <w:rFonts w:ascii="宋体" w:hAnsi="宋体" w:cs="宋体"/>
                <w:kern w:val="0"/>
                <w:szCs w:val="21"/>
              </w:rPr>
            </w:pPr>
            <w:r>
              <w:rPr>
                <w:rFonts w:ascii="宋体" w:hAnsi="宋体" w:cs="宋体"/>
                <w:kern w:val="0"/>
                <w:szCs w:val="21"/>
              </w:rPr>
              <w:t>序号</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0479CF2A">
            <w:pPr>
              <w:spacing w:line="360" w:lineRule="exact"/>
              <w:jc w:val="center"/>
              <w:textAlignment w:val="center"/>
              <w:rPr>
                <w:rFonts w:ascii="宋体" w:hAnsi="宋体" w:cs="宋体"/>
                <w:kern w:val="0"/>
                <w:szCs w:val="21"/>
              </w:rPr>
            </w:pPr>
            <w:r>
              <w:rPr>
                <w:rFonts w:hint="eastAsia" w:ascii="宋体" w:hAnsi="宋体" w:cs="宋体"/>
                <w:kern w:val="0"/>
                <w:szCs w:val="21"/>
              </w:rPr>
              <w:t>标的</w:t>
            </w:r>
            <w:r>
              <w:rPr>
                <w:rFonts w:ascii="宋体" w:hAnsi="宋体" w:cs="宋体"/>
                <w:kern w:val="0"/>
                <w:szCs w:val="21"/>
              </w:rPr>
              <w:t>名称</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71D6665F">
            <w:pPr>
              <w:spacing w:line="360" w:lineRule="exact"/>
              <w:jc w:val="center"/>
              <w:textAlignment w:val="center"/>
              <w:rPr>
                <w:rFonts w:ascii="宋体" w:hAnsi="宋体" w:cs="宋体"/>
                <w:kern w:val="0"/>
                <w:szCs w:val="21"/>
              </w:rPr>
            </w:pPr>
            <w:r>
              <w:rPr>
                <w:rFonts w:hint="eastAsia" w:ascii="宋体" w:hAnsi="宋体"/>
              </w:rPr>
              <w:t>可能涉及的后续采购情况</w:t>
            </w:r>
          </w:p>
        </w:tc>
        <w:tc>
          <w:tcPr>
            <w:tcW w:w="1076" w:type="dxa"/>
            <w:tcBorders>
              <w:top w:val="single" w:color="000000" w:sz="4" w:space="0"/>
              <w:left w:val="single" w:color="auto" w:sz="4" w:space="0"/>
              <w:bottom w:val="single" w:color="000000" w:sz="4" w:space="0"/>
              <w:right w:val="single" w:color="000000" w:sz="4" w:space="0"/>
            </w:tcBorders>
            <w:noWrap/>
            <w:vAlign w:val="center"/>
          </w:tcPr>
          <w:p w14:paraId="3103002B">
            <w:pPr>
              <w:spacing w:line="360" w:lineRule="exact"/>
              <w:jc w:val="center"/>
              <w:textAlignment w:val="center"/>
              <w:rPr>
                <w:rFonts w:ascii="宋体" w:hAnsi="宋体" w:cs="宋体"/>
                <w:kern w:val="0"/>
                <w:szCs w:val="21"/>
              </w:rPr>
            </w:pPr>
            <w:r>
              <w:rPr>
                <w:rFonts w:ascii="宋体" w:hAnsi="宋体" w:cs="宋体"/>
                <w:kern w:val="0"/>
                <w:szCs w:val="21"/>
              </w:rPr>
              <w:t>备注</w:t>
            </w:r>
          </w:p>
        </w:tc>
      </w:tr>
      <w:tr w14:paraId="75F6C218">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6BE99491">
            <w:pPr>
              <w:spacing w:line="360" w:lineRule="exact"/>
              <w:jc w:val="center"/>
              <w:textAlignment w:val="center"/>
              <w:rPr>
                <w:rFonts w:ascii="宋体" w:hAnsi="宋体" w:cs="宋体"/>
                <w:kern w:val="0"/>
                <w:szCs w:val="21"/>
              </w:rPr>
            </w:pPr>
            <w:r>
              <w:rPr>
                <w:rFonts w:hint="eastAsia" w:ascii="宋体" w:hAnsi="宋体" w:cs="宋体"/>
                <w:kern w:val="0"/>
                <w:szCs w:val="21"/>
              </w:rPr>
              <w:t>1</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1D5520FC">
            <w:pPr>
              <w:jc w:val="center"/>
              <w:rPr>
                <w:rFonts w:ascii="宋体" w:hAnsi="宋体" w:cs="宋体"/>
                <w:szCs w:val="21"/>
              </w:rPr>
            </w:pPr>
            <w:r>
              <w:rPr>
                <w:rFonts w:hint="eastAsia" w:ascii="宋体" w:hAnsi="宋体" w:cs="宋体"/>
                <w:szCs w:val="21"/>
              </w:rPr>
              <w:t>重组禽流感病毒（H5+H7）三价灭活疫苗（H5N6 H5Re-13株+ H5N8 H5Re-14 株， H7N9 H7-Re4株）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5CE16E4F">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0D799B12">
            <w:pPr>
              <w:spacing w:line="360" w:lineRule="exact"/>
              <w:jc w:val="center"/>
              <w:textAlignment w:val="center"/>
              <w:rPr>
                <w:rFonts w:ascii="宋体" w:hAnsi="宋体" w:cs="宋体"/>
                <w:kern w:val="0"/>
                <w:szCs w:val="21"/>
              </w:rPr>
            </w:pPr>
          </w:p>
        </w:tc>
      </w:tr>
      <w:tr w14:paraId="47B5D178">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7F525F9">
            <w:pPr>
              <w:spacing w:line="360" w:lineRule="exact"/>
              <w:jc w:val="center"/>
              <w:textAlignment w:val="center"/>
              <w:rPr>
                <w:rFonts w:ascii="宋体" w:hAnsi="宋体" w:cs="宋体"/>
                <w:kern w:val="0"/>
                <w:szCs w:val="21"/>
              </w:rPr>
            </w:pPr>
            <w:r>
              <w:rPr>
                <w:rFonts w:hint="eastAsia" w:ascii="宋体" w:hAnsi="宋体" w:cs="宋体"/>
                <w:kern w:val="0"/>
                <w:szCs w:val="21"/>
              </w:rPr>
              <w:t>2</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1D02D5F6">
            <w:pPr>
              <w:jc w:val="center"/>
              <w:rPr>
                <w:rFonts w:ascii="宋体" w:hAnsi="宋体" w:cs="宋体"/>
                <w:szCs w:val="21"/>
              </w:rPr>
            </w:pPr>
            <w:r>
              <w:rPr>
                <w:rFonts w:hint="eastAsia" w:ascii="宋体" w:hAnsi="宋体" w:cs="宋体"/>
                <w:szCs w:val="21"/>
              </w:rPr>
              <w:t>重组禽流感病毒（H5+H7）三价灭活疫苗（H5N2 rHN5801株+ rGD59株，H7N9 rHN7903株）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45BB4D1E">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44AAD268">
            <w:pPr>
              <w:spacing w:line="360" w:lineRule="exact"/>
              <w:jc w:val="center"/>
              <w:textAlignment w:val="center"/>
              <w:rPr>
                <w:rFonts w:ascii="宋体" w:hAnsi="宋体" w:cs="宋体"/>
                <w:kern w:val="0"/>
                <w:szCs w:val="21"/>
              </w:rPr>
            </w:pPr>
          </w:p>
        </w:tc>
      </w:tr>
      <w:tr w14:paraId="508D7865">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561447D1">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3</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3DC9CF78">
            <w:pPr>
              <w:jc w:val="center"/>
              <w:rPr>
                <w:rFonts w:hint="eastAsia" w:ascii="宋体" w:hAnsi="宋体" w:cs="宋体"/>
                <w:szCs w:val="21"/>
              </w:rPr>
            </w:pPr>
            <w:r>
              <w:rPr>
                <w:rFonts w:hint="eastAsia" w:ascii="宋体" w:hAnsi="宋体" w:cs="宋体"/>
                <w:szCs w:val="21"/>
              </w:rPr>
              <w:t>口蹄疫O型、A型二价3B蛋白表位缺失灭活疫苗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2A39879D">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4D59AB18">
            <w:pPr>
              <w:spacing w:line="360" w:lineRule="exact"/>
              <w:jc w:val="center"/>
              <w:textAlignment w:val="center"/>
              <w:rPr>
                <w:rFonts w:ascii="宋体" w:hAnsi="宋体" w:cs="宋体"/>
                <w:kern w:val="0"/>
                <w:szCs w:val="21"/>
              </w:rPr>
            </w:pPr>
          </w:p>
        </w:tc>
      </w:tr>
      <w:tr w14:paraId="64BEA189">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549BE9D8">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4</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11E32E94">
            <w:pPr>
              <w:jc w:val="center"/>
              <w:rPr>
                <w:rFonts w:hint="eastAsia" w:ascii="宋体" w:hAnsi="宋体" w:cs="宋体"/>
                <w:szCs w:val="21"/>
              </w:rPr>
            </w:pPr>
            <w:r>
              <w:rPr>
                <w:rFonts w:hint="eastAsia" w:ascii="宋体" w:hAnsi="宋体" w:cs="宋体"/>
                <w:szCs w:val="21"/>
              </w:rPr>
              <w:t>高致病性猪繁殖与呼吸综合征活疫苗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1CE3F073">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188318AF">
            <w:pPr>
              <w:spacing w:line="360" w:lineRule="exact"/>
              <w:jc w:val="center"/>
              <w:textAlignment w:val="center"/>
              <w:rPr>
                <w:rFonts w:ascii="宋体" w:hAnsi="宋体" w:cs="宋体"/>
                <w:kern w:val="0"/>
                <w:szCs w:val="21"/>
              </w:rPr>
            </w:pPr>
          </w:p>
        </w:tc>
      </w:tr>
      <w:tr w14:paraId="4EFF1211">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6E463EFD">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5</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6ED6B165">
            <w:pPr>
              <w:jc w:val="center"/>
              <w:rPr>
                <w:rFonts w:hint="eastAsia" w:ascii="宋体" w:hAnsi="宋体" w:cs="宋体"/>
                <w:szCs w:val="21"/>
              </w:rPr>
            </w:pPr>
            <w:r>
              <w:rPr>
                <w:rFonts w:hint="eastAsia" w:ascii="宋体" w:hAnsi="宋体" w:cs="宋体"/>
                <w:szCs w:val="21"/>
              </w:rPr>
              <w:t>山羊痘活疫苗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6B384B4F">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75742C83">
            <w:pPr>
              <w:spacing w:line="360" w:lineRule="exact"/>
              <w:jc w:val="center"/>
              <w:textAlignment w:val="center"/>
              <w:rPr>
                <w:rFonts w:ascii="宋体" w:hAnsi="宋体" w:cs="宋体"/>
                <w:kern w:val="0"/>
                <w:szCs w:val="21"/>
              </w:rPr>
            </w:pPr>
          </w:p>
        </w:tc>
      </w:tr>
    </w:tbl>
    <w:p w14:paraId="14ADFB00">
      <w:pPr>
        <w:spacing w:line="360" w:lineRule="auto"/>
        <w:rPr>
          <w:rFonts w:ascii="宋体" w:hAnsi="宋体"/>
        </w:rPr>
      </w:pPr>
      <w:r>
        <w:rPr>
          <w:rFonts w:hint="eastAsia" w:ascii="宋体" w:hAnsi="宋体"/>
          <w:b/>
          <w:szCs w:val="21"/>
        </w:rPr>
        <w:t>7、</w:t>
      </w:r>
      <w:r>
        <w:rPr>
          <w:rFonts w:ascii="宋体" w:hAnsi="宋体"/>
          <w:b/>
        </w:rPr>
        <w:t>其他相关情况</w:t>
      </w:r>
      <w:r>
        <w:rPr>
          <w:rFonts w:hint="eastAsia" w:ascii="宋体" w:hAnsi="宋体"/>
          <w:b/>
        </w:rPr>
        <w:t>：</w:t>
      </w:r>
      <w:r>
        <w:rPr>
          <w:rFonts w:hint="eastAsia" w:ascii="宋体" w:hAnsi="宋体"/>
        </w:rPr>
        <w:t>（选填有参与意向的标的）</w:t>
      </w:r>
    </w:p>
    <w:tbl>
      <w:tblPr>
        <w:tblStyle w:val="7"/>
        <w:tblW w:w="9572" w:type="dxa"/>
        <w:jc w:val="center"/>
        <w:tblLayout w:type="fixed"/>
        <w:tblCellMar>
          <w:top w:w="0" w:type="dxa"/>
          <w:left w:w="108" w:type="dxa"/>
          <w:bottom w:w="0" w:type="dxa"/>
          <w:right w:w="108" w:type="dxa"/>
        </w:tblCellMar>
      </w:tblPr>
      <w:tblGrid>
        <w:gridCol w:w="730"/>
        <w:gridCol w:w="2572"/>
        <w:gridCol w:w="5194"/>
        <w:gridCol w:w="1076"/>
      </w:tblGrid>
      <w:tr w14:paraId="054CFACD">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1F074F73">
            <w:pPr>
              <w:spacing w:line="360" w:lineRule="exact"/>
              <w:jc w:val="center"/>
              <w:textAlignment w:val="center"/>
              <w:rPr>
                <w:rFonts w:ascii="宋体" w:hAnsi="宋体" w:cs="宋体"/>
                <w:kern w:val="0"/>
                <w:szCs w:val="21"/>
              </w:rPr>
            </w:pPr>
            <w:r>
              <w:rPr>
                <w:rFonts w:ascii="宋体" w:hAnsi="宋体" w:cs="宋体"/>
                <w:kern w:val="0"/>
                <w:szCs w:val="21"/>
              </w:rPr>
              <w:t>序号</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7BC0F908">
            <w:pPr>
              <w:spacing w:line="360" w:lineRule="exact"/>
              <w:jc w:val="center"/>
              <w:textAlignment w:val="center"/>
              <w:rPr>
                <w:rFonts w:ascii="宋体" w:hAnsi="宋体" w:cs="宋体"/>
                <w:kern w:val="0"/>
                <w:szCs w:val="21"/>
              </w:rPr>
            </w:pPr>
            <w:r>
              <w:rPr>
                <w:rFonts w:hint="eastAsia" w:ascii="宋体" w:hAnsi="宋体" w:cs="宋体"/>
                <w:kern w:val="0"/>
                <w:szCs w:val="21"/>
              </w:rPr>
              <w:t>标的</w:t>
            </w:r>
            <w:r>
              <w:rPr>
                <w:rFonts w:ascii="宋体" w:hAnsi="宋体" w:cs="宋体"/>
                <w:kern w:val="0"/>
                <w:szCs w:val="21"/>
              </w:rPr>
              <w:t>名称</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47E8FB4B">
            <w:pPr>
              <w:spacing w:line="360" w:lineRule="exact"/>
              <w:jc w:val="center"/>
              <w:textAlignment w:val="center"/>
              <w:rPr>
                <w:rFonts w:ascii="宋体" w:hAnsi="宋体" w:cs="宋体"/>
                <w:kern w:val="0"/>
                <w:szCs w:val="21"/>
              </w:rPr>
            </w:pPr>
            <w:r>
              <w:rPr>
                <w:rFonts w:ascii="宋体" w:hAnsi="宋体"/>
              </w:rPr>
              <w:t>其他相关情况</w:t>
            </w:r>
          </w:p>
        </w:tc>
        <w:tc>
          <w:tcPr>
            <w:tcW w:w="1076" w:type="dxa"/>
            <w:tcBorders>
              <w:top w:val="single" w:color="000000" w:sz="4" w:space="0"/>
              <w:left w:val="single" w:color="auto" w:sz="4" w:space="0"/>
              <w:bottom w:val="single" w:color="000000" w:sz="4" w:space="0"/>
              <w:right w:val="single" w:color="000000" w:sz="4" w:space="0"/>
            </w:tcBorders>
            <w:noWrap/>
            <w:vAlign w:val="center"/>
          </w:tcPr>
          <w:p w14:paraId="6842DAAF">
            <w:pPr>
              <w:spacing w:line="360" w:lineRule="exact"/>
              <w:jc w:val="center"/>
              <w:textAlignment w:val="center"/>
              <w:rPr>
                <w:rFonts w:ascii="宋体" w:hAnsi="宋体" w:cs="宋体"/>
                <w:kern w:val="0"/>
                <w:szCs w:val="21"/>
              </w:rPr>
            </w:pPr>
            <w:r>
              <w:rPr>
                <w:rFonts w:ascii="宋体" w:hAnsi="宋体" w:cs="宋体"/>
                <w:kern w:val="0"/>
                <w:szCs w:val="21"/>
              </w:rPr>
              <w:t>备注</w:t>
            </w:r>
          </w:p>
        </w:tc>
      </w:tr>
      <w:tr w14:paraId="68B8B2FD">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3A98AB85">
            <w:pPr>
              <w:spacing w:line="360" w:lineRule="exact"/>
              <w:jc w:val="center"/>
              <w:textAlignment w:val="center"/>
              <w:rPr>
                <w:rFonts w:ascii="宋体" w:hAnsi="宋体" w:cs="宋体"/>
                <w:kern w:val="0"/>
                <w:szCs w:val="21"/>
              </w:rPr>
            </w:pPr>
            <w:r>
              <w:rPr>
                <w:rFonts w:hint="eastAsia" w:ascii="宋体" w:hAnsi="宋体" w:cs="宋体"/>
                <w:kern w:val="0"/>
                <w:szCs w:val="21"/>
              </w:rPr>
              <w:t>1</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21ABE293">
            <w:pPr>
              <w:jc w:val="center"/>
              <w:rPr>
                <w:rFonts w:ascii="宋体" w:hAnsi="宋体" w:cs="宋体"/>
                <w:szCs w:val="21"/>
              </w:rPr>
            </w:pPr>
            <w:r>
              <w:rPr>
                <w:rFonts w:hint="eastAsia" w:ascii="宋体" w:hAnsi="宋体" w:cs="宋体"/>
                <w:szCs w:val="21"/>
              </w:rPr>
              <w:t>重组禽流感病毒（H5+H7）三价灭活疫苗（H5N6 H5Re-13株+ H5N8 H5Re-14 株， H7N9 H7-Re4株）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65655F1C">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1B077DE9">
            <w:pPr>
              <w:spacing w:line="360" w:lineRule="exact"/>
              <w:jc w:val="center"/>
              <w:textAlignment w:val="center"/>
              <w:rPr>
                <w:rFonts w:ascii="宋体" w:hAnsi="宋体" w:cs="宋体"/>
                <w:kern w:val="0"/>
                <w:szCs w:val="21"/>
              </w:rPr>
            </w:pPr>
          </w:p>
        </w:tc>
      </w:tr>
      <w:tr w14:paraId="31BA6C4E">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3415AB0C">
            <w:pPr>
              <w:spacing w:line="360" w:lineRule="exact"/>
              <w:jc w:val="center"/>
              <w:textAlignment w:val="center"/>
              <w:rPr>
                <w:rFonts w:ascii="宋体" w:hAnsi="宋体" w:cs="宋体"/>
                <w:kern w:val="0"/>
                <w:szCs w:val="21"/>
              </w:rPr>
            </w:pPr>
            <w:r>
              <w:rPr>
                <w:rFonts w:hint="eastAsia" w:ascii="宋体" w:hAnsi="宋体" w:cs="宋体"/>
                <w:kern w:val="0"/>
                <w:szCs w:val="21"/>
              </w:rPr>
              <w:t>2</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425A13C9">
            <w:pPr>
              <w:jc w:val="center"/>
              <w:rPr>
                <w:rFonts w:ascii="宋体" w:hAnsi="宋体" w:cs="宋体"/>
                <w:szCs w:val="21"/>
              </w:rPr>
            </w:pPr>
            <w:r>
              <w:rPr>
                <w:rFonts w:hint="eastAsia" w:ascii="宋体" w:hAnsi="宋体" w:cs="宋体"/>
                <w:szCs w:val="21"/>
              </w:rPr>
              <w:t>重组禽流感病毒（H5+H7）三价灭活疫苗（H5N2 rHN5801株+ rGD59株，H7N9 rHN7903株）</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48D89B8B">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17D3E088">
            <w:pPr>
              <w:spacing w:line="360" w:lineRule="exact"/>
              <w:jc w:val="center"/>
              <w:textAlignment w:val="center"/>
              <w:rPr>
                <w:rFonts w:ascii="宋体" w:hAnsi="宋体" w:cs="宋体"/>
                <w:kern w:val="0"/>
                <w:szCs w:val="21"/>
              </w:rPr>
            </w:pPr>
          </w:p>
        </w:tc>
      </w:tr>
      <w:tr w14:paraId="35024C4B">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59610C93">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3</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02E9BDFA">
            <w:pPr>
              <w:jc w:val="center"/>
              <w:rPr>
                <w:rFonts w:hint="eastAsia" w:ascii="宋体" w:hAnsi="宋体" w:cs="宋体"/>
                <w:szCs w:val="21"/>
              </w:rPr>
            </w:pPr>
            <w:r>
              <w:rPr>
                <w:rFonts w:hint="eastAsia" w:ascii="宋体" w:hAnsi="宋体" w:cs="宋体"/>
                <w:szCs w:val="21"/>
              </w:rPr>
              <w:t>口蹄疫O型、A型二价3B蛋白表位缺失灭活疫苗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0397F2BE">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6F27EF32">
            <w:pPr>
              <w:spacing w:line="360" w:lineRule="exact"/>
              <w:jc w:val="center"/>
              <w:textAlignment w:val="center"/>
              <w:rPr>
                <w:rFonts w:ascii="宋体" w:hAnsi="宋体" w:cs="宋体"/>
                <w:kern w:val="0"/>
                <w:szCs w:val="21"/>
              </w:rPr>
            </w:pPr>
          </w:p>
        </w:tc>
      </w:tr>
      <w:tr w14:paraId="60C02CF5">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3FAFB714">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4</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00248F6A">
            <w:pPr>
              <w:jc w:val="center"/>
              <w:rPr>
                <w:rFonts w:hint="eastAsia" w:ascii="宋体" w:hAnsi="宋体" w:cs="宋体"/>
                <w:szCs w:val="21"/>
              </w:rPr>
            </w:pPr>
            <w:r>
              <w:rPr>
                <w:rFonts w:hint="eastAsia" w:ascii="宋体" w:hAnsi="宋体" w:cs="宋体"/>
                <w:szCs w:val="21"/>
              </w:rPr>
              <w:t>高致病性猪繁殖与呼吸综合征活疫苗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67E77E73">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4AA9B03E">
            <w:pPr>
              <w:spacing w:line="360" w:lineRule="exact"/>
              <w:jc w:val="center"/>
              <w:textAlignment w:val="center"/>
              <w:rPr>
                <w:rFonts w:ascii="宋体" w:hAnsi="宋体" w:cs="宋体"/>
                <w:kern w:val="0"/>
                <w:szCs w:val="21"/>
              </w:rPr>
            </w:pPr>
          </w:p>
        </w:tc>
      </w:tr>
      <w:tr w14:paraId="4E6E52E6">
        <w:tblPrEx>
          <w:tblCellMar>
            <w:top w:w="0" w:type="dxa"/>
            <w:left w:w="108" w:type="dxa"/>
            <w:bottom w:w="0" w:type="dxa"/>
            <w:right w:w="108" w:type="dxa"/>
          </w:tblCellMar>
        </w:tblPrEx>
        <w:trPr>
          <w:trHeight w:val="340" w:hRule="atLeast"/>
          <w:jc w:val="center"/>
        </w:trPr>
        <w:tc>
          <w:tcPr>
            <w:tcW w:w="730" w:type="dxa"/>
            <w:tcBorders>
              <w:top w:val="single" w:color="000000" w:sz="4" w:space="0"/>
              <w:left w:val="single" w:color="000000" w:sz="4" w:space="0"/>
              <w:bottom w:val="single" w:color="000000" w:sz="4" w:space="0"/>
              <w:right w:val="single" w:color="000000" w:sz="4" w:space="0"/>
            </w:tcBorders>
            <w:noWrap/>
            <w:vAlign w:val="center"/>
          </w:tcPr>
          <w:p w14:paraId="4D746D8D">
            <w:pPr>
              <w:spacing w:line="360" w:lineRule="exact"/>
              <w:jc w:val="center"/>
              <w:textAlignment w:val="center"/>
              <w:rPr>
                <w:rFonts w:hint="eastAsia" w:ascii="宋体" w:hAnsi="宋体" w:cs="宋体"/>
                <w:kern w:val="0"/>
                <w:szCs w:val="21"/>
              </w:rPr>
            </w:pPr>
            <w:r>
              <w:rPr>
                <w:rFonts w:hint="eastAsia" w:ascii="宋体" w:hAnsi="宋体" w:cs="宋体"/>
                <w:kern w:val="0"/>
                <w:szCs w:val="21"/>
                <w:lang w:val="en-US" w:eastAsia="zh-CN"/>
              </w:rPr>
              <w:t>5</w:t>
            </w:r>
          </w:p>
        </w:tc>
        <w:tc>
          <w:tcPr>
            <w:tcW w:w="2572" w:type="dxa"/>
            <w:tcBorders>
              <w:top w:val="single" w:color="000000" w:sz="4" w:space="0"/>
              <w:left w:val="single" w:color="000000" w:sz="4" w:space="0"/>
              <w:bottom w:val="single" w:color="000000" w:sz="4" w:space="0"/>
              <w:right w:val="single" w:color="auto" w:sz="4" w:space="0"/>
            </w:tcBorders>
            <w:noWrap/>
            <w:vAlign w:val="center"/>
          </w:tcPr>
          <w:p w14:paraId="3F361A62">
            <w:pPr>
              <w:jc w:val="center"/>
              <w:rPr>
                <w:rFonts w:hint="eastAsia" w:ascii="宋体" w:hAnsi="宋体" w:cs="宋体"/>
                <w:szCs w:val="21"/>
              </w:rPr>
            </w:pPr>
            <w:r>
              <w:rPr>
                <w:rFonts w:hint="eastAsia" w:ascii="宋体" w:hAnsi="宋体" w:cs="宋体"/>
                <w:szCs w:val="21"/>
              </w:rPr>
              <w:t>山羊痘活疫苗</w:t>
            </w:r>
          </w:p>
        </w:tc>
        <w:tc>
          <w:tcPr>
            <w:tcW w:w="5194" w:type="dxa"/>
            <w:tcBorders>
              <w:top w:val="single" w:color="000000" w:sz="4" w:space="0"/>
              <w:left w:val="single" w:color="000000" w:sz="4" w:space="0"/>
              <w:bottom w:val="single" w:color="000000" w:sz="4" w:space="0"/>
              <w:right w:val="single" w:color="auto" w:sz="4" w:space="0"/>
            </w:tcBorders>
            <w:noWrap/>
            <w:vAlign w:val="center"/>
          </w:tcPr>
          <w:p w14:paraId="7D523B28">
            <w:pPr>
              <w:jc w:val="center"/>
              <w:rPr>
                <w:rFonts w:ascii="宋体" w:hAnsi="宋体" w:cs="宋体"/>
                <w:szCs w:val="21"/>
              </w:rPr>
            </w:pPr>
          </w:p>
        </w:tc>
        <w:tc>
          <w:tcPr>
            <w:tcW w:w="1076" w:type="dxa"/>
            <w:tcBorders>
              <w:top w:val="single" w:color="000000" w:sz="4" w:space="0"/>
              <w:left w:val="single" w:color="auto" w:sz="4" w:space="0"/>
              <w:bottom w:val="single" w:color="000000" w:sz="4" w:space="0"/>
              <w:right w:val="single" w:color="000000" w:sz="4" w:space="0"/>
            </w:tcBorders>
            <w:noWrap/>
            <w:vAlign w:val="center"/>
          </w:tcPr>
          <w:p w14:paraId="7E3942F7">
            <w:pPr>
              <w:spacing w:line="360" w:lineRule="exact"/>
              <w:jc w:val="center"/>
              <w:textAlignment w:val="center"/>
              <w:rPr>
                <w:rFonts w:ascii="宋体" w:hAnsi="宋体" w:cs="宋体"/>
                <w:kern w:val="0"/>
                <w:szCs w:val="21"/>
              </w:rPr>
            </w:pPr>
          </w:p>
        </w:tc>
      </w:tr>
    </w:tbl>
    <w:p w14:paraId="1594CCDE">
      <w:pPr>
        <w:spacing w:line="360" w:lineRule="auto"/>
        <w:rPr>
          <w:rFonts w:ascii="宋体" w:hAnsi="宋体"/>
          <w:szCs w:val="21"/>
        </w:rPr>
      </w:pPr>
      <w:r>
        <w:rPr>
          <w:rFonts w:hint="eastAsia" w:ascii="宋体" w:hAnsi="宋体"/>
          <w:b/>
        </w:rPr>
        <w:t>8、技术商务要求是否合理：</w:t>
      </w:r>
      <w:r>
        <w:rPr>
          <w:rFonts w:hint="eastAsia" w:ascii="宋体" w:hAnsi="宋体"/>
          <w:szCs w:val="21"/>
        </w:rPr>
        <w:t>□是      □否（选填下表）</w:t>
      </w:r>
    </w:p>
    <w:p w14:paraId="5CF741B8">
      <w:pPr>
        <w:pStyle w:val="3"/>
        <w:ind w:firstLine="0"/>
        <w:rPr>
          <w:rFonts w:ascii="宋体" w:hAnsi="宋体"/>
        </w:rPr>
      </w:pPr>
      <w:r>
        <w:rPr>
          <w:rFonts w:hint="eastAsia" w:ascii="宋体" w:hAnsi="宋体"/>
        </w:rPr>
        <w:t>（1）技术要求如下：</w:t>
      </w:r>
    </w:p>
    <w:tbl>
      <w:tblPr>
        <w:tblStyle w:val="7"/>
        <w:tblW w:w="9961" w:type="dxa"/>
        <w:jc w:val="center"/>
        <w:tblLayout w:type="fixed"/>
        <w:tblCellMar>
          <w:top w:w="0" w:type="dxa"/>
          <w:left w:w="108" w:type="dxa"/>
          <w:bottom w:w="0" w:type="dxa"/>
          <w:right w:w="108" w:type="dxa"/>
        </w:tblCellMar>
      </w:tblPr>
      <w:tblGrid>
        <w:gridCol w:w="639"/>
        <w:gridCol w:w="1291"/>
        <w:gridCol w:w="4913"/>
        <w:gridCol w:w="3118"/>
      </w:tblGrid>
      <w:tr w14:paraId="1893C9D4">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标的名称</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宋体" w:hAnsi="宋体" w:eastAsia="宋体" w:cs="宋体"/>
                <w:kern w:val="0"/>
                <w:sz w:val="21"/>
                <w:szCs w:val="21"/>
              </w:rPr>
            </w:pPr>
            <w:r>
              <w:rPr>
                <w:rFonts w:hint="eastAsia" w:ascii="宋体" w:hAnsi="宋体" w:eastAsia="宋体" w:cs="宋体"/>
                <w:sz w:val="21"/>
                <w:szCs w:val="21"/>
              </w:rPr>
              <w:t>技术要求</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修改意见</w:t>
            </w:r>
          </w:p>
        </w:tc>
      </w:tr>
      <w:tr w14:paraId="2CAA5FD2">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8E73347">
            <w:pPr>
              <w:jc w:val="center"/>
              <w:rPr>
                <w:rFonts w:hint="eastAsia" w:ascii="宋体" w:hAnsi="宋体" w:eastAsia="宋体" w:cs="宋体"/>
                <w:sz w:val="21"/>
                <w:szCs w:val="21"/>
              </w:rPr>
            </w:pPr>
            <w:r>
              <w:rPr>
                <w:rFonts w:hint="eastAsia" w:ascii="宋体" w:hAnsi="宋体" w:eastAsia="宋体" w:cs="宋体"/>
                <w:sz w:val="21"/>
                <w:szCs w:val="21"/>
              </w:rPr>
              <w:t>重组禽流感病毒（H5+H7）三价灭活疫苗（H5N6 H5Re-13株+ H5N8 H5Re-14 株， H7N9 H7-Re4株）</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1F2C4D2A">
            <w:pPr>
              <w:rPr>
                <w:rFonts w:hint="eastAsia" w:ascii="宋体" w:hAnsi="宋体" w:eastAsia="宋体" w:cs="宋体"/>
                <w:sz w:val="21"/>
                <w:szCs w:val="21"/>
              </w:rPr>
            </w:pPr>
            <w:r>
              <w:rPr>
                <w:rFonts w:hint="eastAsia" w:ascii="宋体" w:hAnsi="宋体" w:eastAsia="宋体" w:cs="宋体"/>
                <w:sz w:val="21"/>
                <w:szCs w:val="21"/>
              </w:rPr>
              <w:t>一、规格：</w:t>
            </w:r>
          </w:p>
          <w:p w14:paraId="7FF6F9A9">
            <w:pPr>
              <w:rPr>
                <w:rFonts w:hint="eastAsia" w:ascii="宋体" w:hAnsi="宋体" w:eastAsia="宋体" w:cs="宋体"/>
                <w:sz w:val="21"/>
                <w:szCs w:val="21"/>
              </w:rPr>
            </w:pPr>
            <w:r>
              <w:rPr>
                <w:rFonts w:hint="eastAsia" w:ascii="宋体" w:hAnsi="宋体" w:eastAsia="宋体" w:cs="宋体"/>
                <w:sz w:val="21"/>
                <w:szCs w:val="21"/>
              </w:rPr>
              <w:t>250ml/瓶或100ml/瓶。</w:t>
            </w:r>
          </w:p>
          <w:p w14:paraId="0D9BDD85">
            <w:pPr>
              <w:rPr>
                <w:rFonts w:hint="eastAsia" w:ascii="宋体" w:hAnsi="宋体" w:eastAsia="宋体" w:cs="宋体"/>
                <w:sz w:val="21"/>
                <w:szCs w:val="21"/>
              </w:rPr>
            </w:pPr>
            <w:r>
              <w:rPr>
                <w:rFonts w:hint="eastAsia" w:ascii="宋体" w:hAnsi="宋体" w:eastAsia="宋体" w:cs="宋体"/>
                <w:sz w:val="21"/>
                <w:szCs w:val="21"/>
              </w:rPr>
              <w:t>二、技术参数及性能要求：</w:t>
            </w:r>
          </w:p>
          <w:p w14:paraId="3E740044">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按部颁重组禽流感病毒（H5+H7）三价灭活疫苗（H5N6 H5Re-13株+ H5N8 H5Re-14 株， H7N9 H7-Re4株）制造与检验规程制造，用于预防由H5亚型和H7亚型禽流感病毒引起的禽流感；</w:t>
            </w:r>
          </w:p>
          <w:p w14:paraId="1176431C">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外观、剂型、粘度、稳定性、安全性、效价、保护期、包装等符合国家兽用生物制品规程要求；</w:t>
            </w:r>
          </w:p>
          <w:p w14:paraId="2084E5DF">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在2-8℃保存，有效期不少于12个月（疫苗完成生产之日起计算）。</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宋体" w:hAnsi="宋体" w:eastAsia="宋体" w:cs="宋体"/>
                <w:kern w:val="0"/>
                <w:sz w:val="21"/>
                <w:szCs w:val="21"/>
              </w:rPr>
            </w:pPr>
          </w:p>
        </w:tc>
      </w:tr>
      <w:tr w14:paraId="55D074D1">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8909844">
            <w:pPr>
              <w:spacing w:line="36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88B3020">
            <w:pPr>
              <w:jc w:val="center"/>
              <w:rPr>
                <w:rFonts w:hint="eastAsia" w:ascii="宋体" w:hAnsi="宋体" w:eastAsia="宋体" w:cs="宋体"/>
                <w:sz w:val="21"/>
                <w:szCs w:val="21"/>
              </w:rPr>
            </w:pPr>
            <w:r>
              <w:rPr>
                <w:rFonts w:hint="eastAsia" w:ascii="宋体" w:hAnsi="宋体" w:eastAsia="宋体" w:cs="宋体"/>
                <w:sz w:val="21"/>
                <w:szCs w:val="21"/>
              </w:rPr>
              <w:t>重组禽流感病毒（H5+H7）三价灭活疫苗（H5N2 rHN5801株+ rGD59株，H7N9 rHN7903株）</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3932F1D3">
            <w:pPr>
              <w:jc w:val="left"/>
              <w:rPr>
                <w:rFonts w:hint="eastAsia" w:ascii="宋体" w:hAnsi="宋体" w:eastAsia="宋体" w:cs="宋体"/>
                <w:sz w:val="21"/>
                <w:szCs w:val="21"/>
              </w:rPr>
            </w:pPr>
            <w:r>
              <w:rPr>
                <w:rFonts w:hint="eastAsia" w:ascii="宋体" w:hAnsi="宋体" w:eastAsia="宋体" w:cs="宋体"/>
                <w:sz w:val="21"/>
                <w:szCs w:val="21"/>
              </w:rPr>
              <w:t>一、规格</w:t>
            </w:r>
          </w:p>
          <w:p w14:paraId="1D56C868">
            <w:pPr>
              <w:jc w:val="left"/>
              <w:rPr>
                <w:rFonts w:hint="eastAsia" w:ascii="宋体" w:hAnsi="宋体" w:eastAsia="宋体" w:cs="宋体"/>
                <w:sz w:val="21"/>
                <w:szCs w:val="21"/>
              </w:rPr>
            </w:pPr>
            <w:r>
              <w:rPr>
                <w:rFonts w:hint="eastAsia" w:ascii="宋体" w:hAnsi="宋体" w:eastAsia="宋体" w:cs="宋体"/>
                <w:sz w:val="21"/>
                <w:szCs w:val="21"/>
              </w:rPr>
              <w:t>250ml/瓶或100ml/瓶。</w:t>
            </w:r>
          </w:p>
          <w:p w14:paraId="19D2E624">
            <w:pPr>
              <w:jc w:val="left"/>
              <w:rPr>
                <w:rFonts w:hint="eastAsia" w:ascii="宋体" w:hAnsi="宋体" w:eastAsia="宋体" w:cs="宋体"/>
                <w:sz w:val="21"/>
                <w:szCs w:val="21"/>
              </w:rPr>
            </w:pPr>
            <w:r>
              <w:rPr>
                <w:rFonts w:hint="eastAsia" w:ascii="宋体" w:hAnsi="宋体" w:eastAsia="宋体" w:cs="宋体"/>
                <w:sz w:val="21"/>
                <w:szCs w:val="21"/>
              </w:rPr>
              <w:t>二、技术参数及性能要求</w:t>
            </w:r>
          </w:p>
          <w:p w14:paraId="7214C511">
            <w:pPr>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按部颁重组禽流感病毒（H5+H7）三价灭活疫苗（H5N2 rHN5801株+ rGD59株，H7N9 rHN7903株）制造与检验规程制造，用于预防由H5亚型和H7亚型禽流感病毒引起的禽流感。</w:t>
            </w:r>
          </w:p>
          <w:p w14:paraId="7257F939">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外观、剂型、粘度、稳定性、安全性、效价、保护期、包装等符合国家兽用生物制品规程要求。</w:t>
            </w:r>
          </w:p>
          <w:p w14:paraId="6953977D">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在2-8℃保存，有效期不少于12个月（疫苗完成生产之日起计算）。</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1BF8D69">
            <w:pPr>
              <w:spacing w:line="360" w:lineRule="exact"/>
              <w:jc w:val="center"/>
              <w:textAlignment w:val="center"/>
              <w:rPr>
                <w:rFonts w:hint="eastAsia" w:ascii="宋体" w:hAnsi="宋体" w:eastAsia="宋体" w:cs="宋体"/>
                <w:kern w:val="0"/>
                <w:sz w:val="21"/>
                <w:szCs w:val="21"/>
              </w:rPr>
            </w:pPr>
          </w:p>
        </w:tc>
      </w:tr>
      <w:tr w14:paraId="397D8A55">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DC8CFC5">
            <w:pPr>
              <w:spacing w:line="36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25FEB4D">
            <w:pPr>
              <w:jc w:val="center"/>
              <w:rPr>
                <w:rFonts w:hint="eastAsia" w:ascii="宋体" w:hAnsi="宋体" w:eastAsia="宋体" w:cs="宋体"/>
                <w:sz w:val="21"/>
                <w:szCs w:val="21"/>
              </w:rPr>
            </w:pPr>
            <w:r>
              <w:rPr>
                <w:rFonts w:hint="eastAsia" w:ascii="宋体" w:hAnsi="宋体" w:eastAsia="宋体" w:cs="宋体"/>
                <w:sz w:val="21"/>
                <w:szCs w:val="21"/>
              </w:rPr>
              <w:t>口蹄疫O型、A型二价3B蛋白表位缺失灭活疫苗</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21F8D374">
            <w:pPr>
              <w:jc w:val="left"/>
              <w:rPr>
                <w:rFonts w:hint="eastAsia" w:ascii="宋体" w:hAnsi="宋体" w:eastAsia="宋体" w:cs="宋体"/>
                <w:sz w:val="21"/>
                <w:szCs w:val="21"/>
              </w:rPr>
            </w:pPr>
            <w:r>
              <w:rPr>
                <w:rFonts w:hint="eastAsia" w:ascii="宋体" w:hAnsi="宋体" w:eastAsia="宋体" w:cs="宋体"/>
                <w:sz w:val="21"/>
                <w:szCs w:val="21"/>
              </w:rPr>
              <w:t>一、规格：</w:t>
            </w:r>
          </w:p>
          <w:p w14:paraId="79F043B4">
            <w:pPr>
              <w:jc w:val="left"/>
              <w:rPr>
                <w:rFonts w:hint="eastAsia" w:ascii="宋体" w:hAnsi="宋体" w:eastAsia="宋体" w:cs="宋体"/>
                <w:sz w:val="21"/>
                <w:szCs w:val="21"/>
              </w:rPr>
            </w:pPr>
            <w:r>
              <w:rPr>
                <w:rFonts w:hint="eastAsia" w:ascii="宋体" w:hAnsi="宋体" w:eastAsia="宋体" w:cs="宋体"/>
                <w:sz w:val="21"/>
                <w:szCs w:val="21"/>
              </w:rPr>
              <w:t>100ml/瓶或50ml/瓶。</w:t>
            </w:r>
          </w:p>
          <w:p w14:paraId="0FD79BB1">
            <w:pPr>
              <w:jc w:val="left"/>
              <w:rPr>
                <w:rFonts w:hint="eastAsia" w:ascii="宋体" w:hAnsi="宋体" w:eastAsia="宋体" w:cs="宋体"/>
                <w:sz w:val="21"/>
                <w:szCs w:val="21"/>
              </w:rPr>
            </w:pPr>
            <w:r>
              <w:rPr>
                <w:rFonts w:hint="eastAsia" w:ascii="宋体" w:hAnsi="宋体" w:eastAsia="宋体" w:cs="宋体"/>
                <w:sz w:val="21"/>
                <w:szCs w:val="21"/>
              </w:rPr>
              <w:t>二、技术参数及性能要求：</w:t>
            </w:r>
          </w:p>
          <w:p w14:paraId="54F91D19">
            <w:pPr>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口蹄疫O型和A型3B蛋白表位缺失毒株接种细胞掊养收获细胞培养物，经BEI灭活后，加206佐剂混合乳化制成；</w:t>
            </w:r>
          </w:p>
          <w:p w14:paraId="6C91B6D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外观、剂型、粘度、稳定性、安全性、效价、保护期、包装等符合国家兽用生物制品规程要求；</w:t>
            </w:r>
          </w:p>
          <w:p w14:paraId="376B71DC">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在2-8℃保存，有效期不少于12个月（疫苗完成生产之日起计算）。</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D438E52">
            <w:pPr>
              <w:spacing w:line="360" w:lineRule="exact"/>
              <w:jc w:val="center"/>
              <w:textAlignment w:val="center"/>
              <w:rPr>
                <w:rFonts w:hint="eastAsia" w:ascii="宋体" w:hAnsi="宋体" w:eastAsia="宋体" w:cs="宋体"/>
                <w:kern w:val="0"/>
                <w:sz w:val="21"/>
                <w:szCs w:val="21"/>
              </w:rPr>
            </w:pPr>
          </w:p>
        </w:tc>
      </w:tr>
      <w:tr w14:paraId="13C17517">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2E549D0">
            <w:pPr>
              <w:spacing w:line="36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879067D">
            <w:pPr>
              <w:jc w:val="center"/>
              <w:rPr>
                <w:rFonts w:hint="eastAsia" w:ascii="宋体" w:hAnsi="宋体" w:eastAsia="宋体" w:cs="宋体"/>
                <w:sz w:val="21"/>
                <w:szCs w:val="21"/>
              </w:rPr>
            </w:pPr>
            <w:r>
              <w:rPr>
                <w:rFonts w:hint="eastAsia" w:ascii="宋体" w:hAnsi="宋体" w:eastAsia="宋体" w:cs="宋体"/>
                <w:sz w:val="21"/>
                <w:szCs w:val="21"/>
              </w:rPr>
              <w:t>高致病性猪繁殖与呼吸综合征活疫苗</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1AE84AB4">
            <w:pPr>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高致病性猪繁殖与呼吸综合征疫苗病毒TJM-F92株接种Marc-15细胞，按部颁高致病性猪繁殖与呼吸综合征活疫苗（TJM-F92株）制造与检验试行规程制造而成。</w:t>
            </w:r>
          </w:p>
          <w:p w14:paraId="64C4817A">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性状、支原体及无菌检验、效力检验、剩余水分、真空度、规格、储藏、保护期等符合规程要求。</w:t>
            </w:r>
          </w:p>
          <w:p w14:paraId="0D86F60D">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2-8℃保存，有效期不少于12个月（疫苗完成生产之日起计算）；</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27979FB3">
            <w:pPr>
              <w:spacing w:line="360" w:lineRule="exact"/>
              <w:jc w:val="center"/>
              <w:textAlignment w:val="center"/>
              <w:rPr>
                <w:rFonts w:hint="eastAsia" w:ascii="宋体" w:hAnsi="宋体" w:eastAsia="宋体" w:cs="宋体"/>
                <w:kern w:val="0"/>
                <w:sz w:val="21"/>
                <w:szCs w:val="21"/>
              </w:rPr>
            </w:pPr>
          </w:p>
        </w:tc>
      </w:tr>
      <w:tr w14:paraId="215F988C">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EFE9C4B">
            <w:pPr>
              <w:spacing w:line="36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072C3142">
            <w:pPr>
              <w:jc w:val="center"/>
              <w:rPr>
                <w:rFonts w:hint="eastAsia" w:ascii="宋体" w:hAnsi="宋体" w:eastAsia="宋体" w:cs="宋体"/>
                <w:sz w:val="21"/>
                <w:szCs w:val="21"/>
              </w:rPr>
            </w:pPr>
            <w:r>
              <w:rPr>
                <w:rFonts w:hint="eastAsia" w:ascii="宋体" w:hAnsi="宋体" w:eastAsia="宋体" w:cs="宋体"/>
                <w:sz w:val="21"/>
                <w:szCs w:val="21"/>
              </w:rPr>
              <w:t>山羊痘活疫苗</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6E24E240">
            <w:pPr>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用山羊痘弱毒接种培养，收获培养的细胞毒，真空冻干制成。</w:t>
            </w:r>
          </w:p>
          <w:p w14:paraId="24BD395B">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外观、剂型、稳定性、安全性、效价、保护期、包装等符合国家兽用生物制品规程要求。</w:t>
            </w:r>
          </w:p>
          <w:p w14:paraId="2F8C48B8">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-15℃以下保存期限24个月以上。</w:t>
            </w:r>
          </w:p>
          <w:p w14:paraId="1CAEC938">
            <w:pPr>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规格：50或100头份/瓶包装规格。</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E8AF204">
            <w:pPr>
              <w:spacing w:line="360" w:lineRule="exact"/>
              <w:jc w:val="center"/>
              <w:textAlignment w:val="center"/>
              <w:rPr>
                <w:rFonts w:hint="eastAsia" w:ascii="宋体" w:hAnsi="宋体" w:eastAsia="宋体" w:cs="宋体"/>
                <w:kern w:val="0"/>
                <w:sz w:val="21"/>
                <w:szCs w:val="21"/>
              </w:rPr>
            </w:pPr>
          </w:p>
        </w:tc>
      </w:tr>
    </w:tbl>
    <w:p w14:paraId="1C41AA91">
      <w:pPr>
        <w:spacing w:line="360" w:lineRule="auto"/>
        <w:rPr>
          <w:rFonts w:ascii="宋体" w:hAnsi="宋体"/>
        </w:rPr>
      </w:pPr>
      <w:r>
        <w:rPr>
          <w:rFonts w:hint="eastAsia" w:ascii="宋体" w:hAnsi="宋体"/>
        </w:rPr>
        <w:t>（2）商务要求如下：</w:t>
      </w:r>
    </w:p>
    <w:tbl>
      <w:tblPr>
        <w:tblStyle w:val="7"/>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5439"/>
        <w:gridCol w:w="3086"/>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71DD08BA">
            <w:pPr>
              <w:spacing w:line="360" w:lineRule="exact"/>
              <w:jc w:val="center"/>
              <w:rPr>
                <w:rFonts w:ascii="宋体" w:hAnsi="宋体"/>
                <w:szCs w:val="21"/>
              </w:rPr>
            </w:pPr>
            <w:r>
              <w:rPr>
                <w:rFonts w:hint="eastAsia" w:ascii="宋体" w:hAnsi="宋体"/>
                <w:szCs w:val="21"/>
              </w:rPr>
              <w:t>商务</w:t>
            </w:r>
            <w:r>
              <w:rPr>
                <w:rFonts w:ascii="宋体" w:hAnsi="宋体"/>
                <w:szCs w:val="21"/>
              </w:rPr>
              <w:t>项</w:t>
            </w:r>
          </w:p>
        </w:tc>
        <w:tc>
          <w:tcPr>
            <w:tcW w:w="5439" w:type="dxa"/>
            <w:vAlign w:val="center"/>
          </w:tcPr>
          <w:p w14:paraId="6CF895F2">
            <w:pPr>
              <w:spacing w:line="360" w:lineRule="exact"/>
              <w:jc w:val="center"/>
              <w:rPr>
                <w:rFonts w:ascii="宋体" w:hAnsi="宋体"/>
                <w:szCs w:val="21"/>
              </w:rPr>
            </w:pPr>
            <w:r>
              <w:rPr>
                <w:rFonts w:ascii="宋体" w:hAnsi="宋体"/>
                <w:szCs w:val="21"/>
              </w:rPr>
              <w:t>商务要求</w:t>
            </w:r>
          </w:p>
        </w:tc>
        <w:tc>
          <w:tcPr>
            <w:tcW w:w="3086" w:type="dxa"/>
            <w:vAlign w:val="center"/>
          </w:tcPr>
          <w:p w14:paraId="095BB7FD">
            <w:pPr>
              <w:spacing w:line="360" w:lineRule="exact"/>
              <w:jc w:val="center"/>
              <w:rPr>
                <w:rFonts w:ascii="宋体" w:hAnsi="宋体"/>
                <w:szCs w:val="21"/>
              </w:rPr>
            </w:pPr>
            <w:r>
              <w:rPr>
                <w:rFonts w:ascii="宋体" w:hAnsi="宋体"/>
                <w:szCs w:val="21"/>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4602328E">
            <w:pPr>
              <w:spacing w:line="360" w:lineRule="exact"/>
              <w:rPr>
                <w:rFonts w:ascii="宋体" w:hAnsi="宋体"/>
                <w:szCs w:val="21"/>
              </w:rPr>
            </w:pPr>
            <w:r>
              <w:rPr>
                <w:rFonts w:hint="eastAsia" w:ascii="宋体" w:hAnsi="宋体"/>
                <w:szCs w:val="21"/>
              </w:rPr>
              <w:t>▲有效期</w:t>
            </w:r>
          </w:p>
        </w:tc>
        <w:tc>
          <w:tcPr>
            <w:tcW w:w="5439" w:type="dxa"/>
            <w:vAlign w:val="center"/>
          </w:tcPr>
          <w:p w14:paraId="18578BB4">
            <w:pPr>
              <w:spacing w:line="360" w:lineRule="exact"/>
              <w:ind w:firstLine="420" w:firstLineChars="200"/>
              <w:rPr>
                <w:rFonts w:ascii="宋体" w:hAnsi="宋体"/>
                <w:szCs w:val="21"/>
              </w:rPr>
            </w:pPr>
            <w:r>
              <w:rPr>
                <w:rFonts w:hint="eastAsia" w:ascii="宋体" w:hAnsi="宋体"/>
                <w:szCs w:val="21"/>
              </w:rPr>
              <w:t>中标人负责送货上门。如中标货物承诺的有效期为12个月的，送达采购人指定地点时剩余有效期应保证不少于7个月（含7个月）；如中标产品承诺的有效期为18个月的，送达采购人指定地点时剩余有效期应保证不少于13个月（含13个月）；如中标产品承诺的有效期为24个月的，送达采购人指定地点时剩余有效期应保证不少于18个月（含18个月）。如遇紧急免疫需要，经双方协商一致，中标人可提供尚在有效期内的中标货物。货物从生产地运送到采购人指定地点，必须符合动物疫苗运输环节质量保障及管理要求。</w:t>
            </w:r>
          </w:p>
        </w:tc>
        <w:tc>
          <w:tcPr>
            <w:tcW w:w="3086" w:type="dxa"/>
          </w:tcPr>
          <w:p w14:paraId="7268D9EE">
            <w:pPr>
              <w:spacing w:line="360" w:lineRule="exact"/>
              <w:rPr>
                <w:rFonts w:ascii="宋体" w:hAnsi="宋体"/>
                <w:szCs w:val="21"/>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3B55FC6D">
            <w:pPr>
              <w:spacing w:line="360" w:lineRule="exact"/>
              <w:rPr>
                <w:rFonts w:ascii="宋体" w:hAnsi="宋体"/>
                <w:szCs w:val="21"/>
              </w:rPr>
            </w:pPr>
            <w:r>
              <w:rPr>
                <w:rFonts w:hint="eastAsia" w:ascii="宋体" w:hAnsi="宋体"/>
                <w:szCs w:val="21"/>
              </w:rPr>
              <w:t>产品质量及包装要求</w:t>
            </w:r>
          </w:p>
        </w:tc>
        <w:tc>
          <w:tcPr>
            <w:tcW w:w="5439" w:type="dxa"/>
            <w:vAlign w:val="center"/>
          </w:tcPr>
          <w:p w14:paraId="3F17FCE9">
            <w:pPr>
              <w:spacing w:line="360" w:lineRule="exact"/>
              <w:ind w:firstLine="420" w:firstLineChars="200"/>
              <w:rPr>
                <w:rFonts w:hint="eastAsia" w:ascii="宋体" w:hAnsi="宋体"/>
                <w:szCs w:val="21"/>
              </w:rPr>
            </w:pPr>
            <w:r>
              <w:rPr>
                <w:rFonts w:hint="eastAsia" w:ascii="宋体" w:hAnsi="宋体"/>
                <w:szCs w:val="21"/>
              </w:rPr>
              <w:t>1.产品质量证明材料要求</w:t>
            </w:r>
          </w:p>
          <w:p w14:paraId="13303F0F">
            <w:pPr>
              <w:spacing w:line="360" w:lineRule="exact"/>
              <w:ind w:firstLine="420" w:firstLineChars="200"/>
              <w:rPr>
                <w:rFonts w:hint="eastAsia" w:ascii="宋体" w:hAnsi="宋体"/>
                <w:szCs w:val="21"/>
              </w:rPr>
            </w:pPr>
            <w:r>
              <w:rPr>
                <w:rFonts w:hint="eastAsia" w:ascii="宋体" w:hAnsi="宋体"/>
                <w:szCs w:val="21"/>
              </w:rPr>
              <w:t>（1）凡使用进口佐剂的疫苗，</w:t>
            </w:r>
            <w:r>
              <w:rPr>
                <w:rFonts w:hint="eastAsia" w:ascii="宋体" w:hAnsi="宋体"/>
                <w:b/>
                <w:szCs w:val="21"/>
                <w:u w:val="single"/>
              </w:rPr>
              <w:t>投标人在投标文件中提供上年度以来相应疫苗佐剂的购买合同和发票原件的彩色扫描件等证明材料</w:t>
            </w:r>
            <w:r>
              <w:rPr>
                <w:rFonts w:hint="eastAsia" w:ascii="宋体" w:hAnsi="宋体"/>
                <w:szCs w:val="21"/>
              </w:rPr>
              <w:t>并加盖公章或电子公章，签订合同后，采购人有权要求中标人在规定期限内将相关原件提供给采购人核对，如发现中标人提供虚假材料牟取中标的，将向财政部门报告，取消其中标资格并按财政部门规定予以处罚。</w:t>
            </w:r>
          </w:p>
          <w:p w14:paraId="79A619B7">
            <w:pPr>
              <w:spacing w:line="360" w:lineRule="exact"/>
              <w:ind w:firstLine="420" w:firstLineChars="200"/>
              <w:rPr>
                <w:rFonts w:hint="eastAsia" w:ascii="宋体" w:hAnsi="宋体"/>
                <w:szCs w:val="21"/>
              </w:rPr>
            </w:pPr>
            <w:r>
              <w:rPr>
                <w:rFonts w:hint="eastAsia" w:ascii="宋体" w:hAnsi="宋体"/>
                <w:szCs w:val="21"/>
              </w:rPr>
              <w:t>（2）投标人提供202</w:t>
            </w:r>
            <w:r>
              <w:rPr>
                <w:rFonts w:hint="eastAsia" w:ascii="宋体" w:hAnsi="宋体"/>
                <w:szCs w:val="21"/>
                <w:lang w:val="en-US" w:eastAsia="zh-CN"/>
              </w:rPr>
              <w:t>4</w:t>
            </w:r>
            <w:r>
              <w:rPr>
                <w:rFonts w:hint="eastAsia" w:ascii="宋体" w:hAnsi="宋体"/>
                <w:szCs w:val="21"/>
              </w:rPr>
              <w:t>年以来连续5批次疫苗的批签发报告（从首次获得该产品批准文号之日起到投标文件提交截止时间止不足1年且获得的批签发报告不足5批次的，只需提供从首次获得该产品批准文号之日起所获得的所有批签发报告）。批签发报告时间以中国兽医药品监察所审核日期为准，要求彩色复印件并加盖公章或电子公章，签订合同后，采购人有权要求中标人在规定期限内将相关原件提供给采购人核对，如发现中标人提供虚假材料牟取中标的，将向财政部门报告，取消其中标资格并按财政部门规定予以处罚。</w:t>
            </w:r>
          </w:p>
          <w:p w14:paraId="42332988">
            <w:pPr>
              <w:spacing w:line="360" w:lineRule="exact"/>
              <w:ind w:firstLine="420" w:firstLineChars="200"/>
              <w:rPr>
                <w:rFonts w:hint="eastAsia" w:ascii="宋体" w:hAnsi="宋体"/>
                <w:szCs w:val="21"/>
              </w:rPr>
            </w:pPr>
            <w:r>
              <w:rPr>
                <w:rFonts w:hint="eastAsia" w:ascii="宋体" w:hAnsi="宋体"/>
                <w:szCs w:val="21"/>
              </w:rPr>
              <w:t>▲（3）评标时，若评标委员会发现投标人提供的批签发报告与中国兽医药品监察所备案的批签发报告数据不一致的，将视为投标无效。</w:t>
            </w:r>
          </w:p>
          <w:p w14:paraId="35D4CF6A">
            <w:pPr>
              <w:spacing w:line="360" w:lineRule="exact"/>
              <w:ind w:firstLine="420" w:firstLineChars="200"/>
              <w:rPr>
                <w:rFonts w:ascii="宋体" w:hAnsi="宋体"/>
                <w:szCs w:val="21"/>
              </w:rPr>
            </w:pPr>
            <w:r>
              <w:rPr>
                <w:rFonts w:hint="eastAsia" w:ascii="宋体" w:hAnsi="宋体"/>
                <w:szCs w:val="21"/>
              </w:rPr>
              <w:t>▲2.产品包装要求：产品外包装、瓶签内容完整，瓶签内容至少包括产品名称、批准文号、生产批号、有效期、规格、使用说明、贮存条件、生产企业。</w:t>
            </w:r>
          </w:p>
        </w:tc>
        <w:tc>
          <w:tcPr>
            <w:tcW w:w="3086" w:type="dxa"/>
          </w:tcPr>
          <w:p w14:paraId="1AAE2E79">
            <w:pPr>
              <w:spacing w:line="360" w:lineRule="exact"/>
              <w:rPr>
                <w:rFonts w:ascii="宋体" w:hAnsi="宋体"/>
                <w:szCs w:val="21"/>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53C7749F">
            <w:pPr>
              <w:spacing w:line="360" w:lineRule="exact"/>
              <w:rPr>
                <w:rFonts w:ascii="宋体" w:hAnsi="宋体"/>
                <w:szCs w:val="21"/>
              </w:rPr>
            </w:pPr>
            <w:r>
              <w:rPr>
                <w:rFonts w:hint="eastAsia" w:ascii="宋体" w:hAnsi="宋体"/>
                <w:szCs w:val="21"/>
              </w:rPr>
              <w:t>▲售前、售中、售后服务要求</w:t>
            </w:r>
          </w:p>
        </w:tc>
        <w:tc>
          <w:tcPr>
            <w:tcW w:w="5439" w:type="dxa"/>
            <w:vAlign w:val="center"/>
          </w:tcPr>
          <w:p w14:paraId="1BE43D89">
            <w:pPr>
              <w:spacing w:line="360" w:lineRule="exact"/>
              <w:ind w:firstLine="422" w:firstLineChars="200"/>
              <w:rPr>
                <w:rFonts w:hint="eastAsia" w:ascii="宋体" w:hAnsi="宋体"/>
                <w:szCs w:val="21"/>
              </w:rPr>
            </w:pPr>
            <w:r>
              <w:rPr>
                <w:rFonts w:hint="eastAsia" w:ascii="宋体" w:hAnsi="宋体"/>
                <w:b/>
                <w:szCs w:val="21"/>
                <w:u w:val="single"/>
              </w:rPr>
              <w:t>投标人在投标文件中必须提供符合实际、切实可行、可操作性强的售前、售中、售后服务方案</w:t>
            </w:r>
            <w:r>
              <w:rPr>
                <w:rFonts w:hint="eastAsia" w:ascii="宋体" w:hAnsi="宋体"/>
                <w:szCs w:val="21"/>
              </w:rPr>
              <w:t>。投标人中标后必须严格履行与采购人签订的采购合同，严格执行所承诺的服务条款。按合同规定供货结束并履行所有承诺服务事项后，中标人必须30天内向采购人提供履行合同、完成服务条款承诺的相关工作的详细总结材料（必须附具详实的数据及有关证明材料）。</w:t>
            </w:r>
          </w:p>
          <w:p w14:paraId="6DCA3DF0">
            <w:pPr>
              <w:spacing w:line="360" w:lineRule="exact"/>
              <w:ind w:firstLine="420" w:firstLineChars="200"/>
              <w:rPr>
                <w:rFonts w:hint="eastAsia" w:ascii="宋体" w:hAnsi="宋体"/>
                <w:szCs w:val="21"/>
              </w:rPr>
            </w:pPr>
            <w:r>
              <w:rPr>
                <w:rFonts w:hint="eastAsia" w:ascii="宋体" w:hAnsi="宋体"/>
                <w:szCs w:val="21"/>
              </w:rPr>
              <w:t>1.加强与采购人产品需求对接，做好生产计划安排。</w:t>
            </w:r>
          </w:p>
          <w:p w14:paraId="202CDD11">
            <w:pPr>
              <w:spacing w:line="360" w:lineRule="exact"/>
              <w:ind w:firstLine="420" w:firstLineChars="200"/>
              <w:rPr>
                <w:rFonts w:hint="eastAsia" w:ascii="宋体" w:hAnsi="宋体"/>
                <w:szCs w:val="21"/>
              </w:rPr>
            </w:pPr>
            <w:r>
              <w:rPr>
                <w:rFonts w:hint="eastAsia" w:ascii="宋体" w:hAnsi="宋体"/>
                <w:szCs w:val="21"/>
              </w:rPr>
              <w:t xml:space="preserve">2.中标人负责送货上门，疫苗发货及运输环节质量保障要求 </w:t>
            </w:r>
          </w:p>
          <w:p w14:paraId="1B5868DF">
            <w:pPr>
              <w:spacing w:line="360" w:lineRule="exact"/>
              <w:ind w:firstLine="420" w:firstLineChars="200"/>
              <w:rPr>
                <w:rFonts w:hint="eastAsia" w:ascii="宋体" w:hAnsi="宋体"/>
                <w:szCs w:val="21"/>
              </w:rPr>
            </w:pPr>
            <w:r>
              <w:rPr>
                <w:rFonts w:hint="eastAsia" w:ascii="宋体" w:hAnsi="宋体"/>
                <w:szCs w:val="21"/>
              </w:rPr>
              <w:t>（1）中标人从生产地（或疫苗中转仓库）将中标产品运送采购人（指定地点），必须保证该产品的运输储存温度符合其现行部颁规程（指农业农村部颁布的规程）规定的储存温度要求。凡未按规定温度条件运输的疫苗，采购人一律拒收。</w:t>
            </w:r>
          </w:p>
          <w:p w14:paraId="5F1240EB">
            <w:pPr>
              <w:spacing w:line="360" w:lineRule="exact"/>
              <w:ind w:firstLine="420" w:firstLineChars="200"/>
              <w:rPr>
                <w:rFonts w:hint="eastAsia" w:ascii="宋体" w:hAnsi="宋体"/>
                <w:szCs w:val="21"/>
              </w:rPr>
            </w:pPr>
            <w:r>
              <w:rPr>
                <w:rFonts w:hint="eastAsia" w:ascii="宋体" w:hAnsi="宋体"/>
                <w:szCs w:val="21"/>
              </w:rPr>
              <w:t>（2）中标人在收到采购人的订单需货通知后，应及时核对、确认应发疫苗品种、剂型、规格、数量以及发货时间要求、收货地点等信息，按规定时间和运输质量保障要求送到采购人指定地点。</w:t>
            </w:r>
          </w:p>
          <w:p w14:paraId="37DFCF43">
            <w:pPr>
              <w:spacing w:line="360" w:lineRule="exact"/>
              <w:ind w:firstLine="420" w:firstLineChars="200"/>
              <w:rPr>
                <w:rFonts w:hint="eastAsia" w:ascii="宋体" w:hAnsi="宋体"/>
                <w:szCs w:val="21"/>
              </w:rPr>
            </w:pPr>
            <w:r>
              <w:rPr>
                <w:rFonts w:hint="eastAsia" w:ascii="宋体" w:hAnsi="宋体"/>
                <w:szCs w:val="21"/>
              </w:rPr>
              <w:t>（3）中标人每次发出疫苗时，应填写发货单（格式见本章附表），详细填写发货单位、承运单位、疫苗名称、剂型、批准文号、数量、规格、生产日期、批号、有效期、运载工具种类及车牌号、司机及押运人员姓名及联系电话、大概行程及到达采购人时间等内容，同时将发货单以传真或电子邮件形式发给采购人。不按规定要求发货的，采购人一律拒收，损失由中标人承担。</w:t>
            </w:r>
          </w:p>
          <w:p w14:paraId="3C998160">
            <w:pPr>
              <w:spacing w:line="360" w:lineRule="exact"/>
              <w:ind w:firstLine="420" w:firstLineChars="200"/>
              <w:rPr>
                <w:rFonts w:hint="eastAsia" w:ascii="宋体" w:hAnsi="宋体"/>
                <w:szCs w:val="21"/>
              </w:rPr>
            </w:pPr>
            <w:r>
              <w:rPr>
                <w:rFonts w:hint="eastAsia" w:ascii="宋体" w:hAnsi="宋体"/>
                <w:szCs w:val="21"/>
              </w:rPr>
              <w:t>（4）中标人运输动物疫苗，应采取空运的方式快速运送或使用自有专用疫苗冷藏运输车运送。</w:t>
            </w:r>
          </w:p>
          <w:p w14:paraId="311D7624">
            <w:pPr>
              <w:spacing w:line="360" w:lineRule="exact"/>
              <w:ind w:firstLine="420" w:firstLineChars="200"/>
              <w:rPr>
                <w:rFonts w:hint="eastAsia" w:ascii="宋体" w:hAnsi="宋体"/>
                <w:szCs w:val="21"/>
              </w:rPr>
            </w:pPr>
            <w:r>
              <w:rPr>
                <w:rFonts w:hint="eastAsia" w:ascii="宋体" w:hAnsi="宋体"/>
                <w:szCs w:val="21"/>
              </w:rPr>
              <w:t>（5）通过空运运送疫苗的，中标人应将发货、到货时间告知采购人，并经采购人同意、确认后方可发货。空运疫苗的冷藏箱应配置有温度自动监控记录设备，冷藏箱内应放置足够数量的专用冰袋，保证疫苗运至采购人指定地点后冰袋内的冰块未融化，以保证疫苗运输过程储存温度符合规定要求。货物延时发到采购人指定地点的，采购人拒绝接收货物，损失由中标人负责。</w:t>
            </w:r>
          </w:p>
          <w:p w14:paraId="09ED9FCF">
            <w:pPr>
              <w:spacing w:line="360" w:lineRule="exact"/>
              <w:ind w:firstLine="420" w:firstLineChars="200"/>
              <w:rPr>
                <w:rFonts w:hint="eastAsia" w:ascii="宋体" w:hAnsi="宋体"/>
                <w:szCs w:val="21"/>
              </w:rPr>
            </w:pPr>
            <w:r>
              <w:rPr>
                <w:rFonts w:hint="eastAsia" w:ascii="宋体" w:hAnsi="宋体"/>
                <w:szCs w:val="21"/>
              </w:rPr>
              <w:t>（6）中标人使用冷藏运输车运送疫苗的，冷藏运输车必须装配有冷链设备移动监控（GPRS监控）系统或温度自动监控记录系统，24小时监控温度变化。疫苗装车时应保证预留足够的冷气循环通道，并采取相应措施防止疫苗包装箱、疫苗瓶滑动、碰撞、破裂；运送过程中应派人全程押送，严防日光曝晒。</w:t>
            </w:r>
          </w:p>
          <w:p w14:paraId="42652EEE">
            <w:pPr>
              <w:spacing w:line="360" w:lineRule="exact"/>
              <w:ind w:firstLine="420" w:firstLineChars="200"/>
              <w:rPr>
                <w:rFonts w:hint="eastAsia" w:ascii="宋体" w:hAnsi="宋体"/>
                <w:szCs w:val="21"/>
              </w:rPr>
            </w:pPr>
            <w:r>
              <w:rPr>
                <w:rFonts w:hint="eastAsia" w:ascii="宋体" w:hAnsi="宋体"/>
                <w:szCs w:val="21"/>
              </w:rPr>
              <w:t>（7）疫苗运输过程中发生交通事故、车辆损坏或冷藏车制冷故障时，必须通知采购人，并采取迅速有效的应急措施，确保疫苗储存温度达到规定要求。应急处置过程应有详细记录，并在疫苗到达时提供采购人。</w:t>
            </w:r>
          </w:p>
          <w:p w14:paraId="62094DE3">
            <w:pPr>
              <w:spacing w:line="360" w:lineRule="exact"/>
              <w:ind w:firstLine="420" w:firstLineChars="200"/>
              <w:rPr>
                <w:rFonts w:hint="eastAsia" w:ascii="宋体" w:hAnsi="宋体"/>
                <w:szCs w:val="21"/>
              </w:rPr>
            </w:pPr>
            <w:r>
              <w:rPr>
                <w:rFonts w:hint="eastAsia" w:ascii="宋体" w:hAnsi="宋体"/>
                <w:szCs w:val="21"/>
              </w:rPr>
              <w:t>3.中标人必须为使用方（广西动物疫病预防控制中心、广西14个市及所属的各县（市、区）动物疫病预防控制机构）提供相关知识培训，</w:t>
            </w:r>
            <w:r>
              <w:rPr>
                <w:rFonts w:hint="eastAsia" w:ascii="宋体" w:hAnsi="宋体"/>
                <w:b/>
                <w:szCs w:val="21"/>
                <w:u w:val="single"/>
              </w:rPr>
              <w:t>投标人必须在投标文件中提供符合实际并具有操作性的培训方案</w:t>
            </w:r>
            <w:r>
              <w:rPr>
                <w:rFonts w:hint="eastAsia" w:ascii="宋体" w:hAnsi="宋体"/>
                <w:szCs w:val="21"/>
              </w:rPr>
              <w:t>。</w:t>
            </w:r>
          </w:p>
          <w:p w14:paraId="68D0D3F4">
            <w:pPr>
              <w:spacing w:line="360" w:lineRule="exact"/>
              <w:ind w:firstLine="420" w:firstLineChars="200"/>
              <w:rPr>
                <w:rFonts w:hint="eastAsia" w:ascii="宋体" w:hAnsi="宋体"/>
                <w:szCs w:val="21"/>
              </w:rPr>
            </w:pPr>
            <w:r>
              <w:rPr>
                <w:rFonts w:hint="eastAsia" w:ascii="宋体" w:hAnsi="宋体"/>
                <w:szCs w:val="21"/>
              </w:rPr>
              <w:t>4.中标人必须协助使用方（广西动物疫病预防控制中心、广西14个市及所属的各县（市、区）动物疫病预防控制机构）开展疫苗免疫效果监测与评估工作，必要时提供监测试剂（中标人提供的监测试剂费用应包含在本次报价中，采购人不再另行支付），确保免疫达到国家规定的保护水平。</w:t>
            </w:r>
            <w:r>
              <w:rPr>
                <w:rFonts w:hint="eastAsia" w:ascii="宋体" w:hAnsi="宋体"/>
                <w:b/>
                <w:szCs w:val="21"/>
                <w:u w:val="single"/>
              </w:rPr>
              <w:t>投标人必须在投标文件中提供切实可行的工作方案，并在方案中承诺可提供监测试剂量的相关描述。中标人在签订合同后提供本地化的服务团队（注：该团队可以是中标人设在广西境内的分公司、办事处或技术服务团队，也可委托其他广西本地公司或机构，但必须在签订合同后出示委托协议及被委托方的资质、实力、营业执照等证明材料</w:t>
            </w:r>
            <w:r>
              <w:rPr>
                <w:rFonts w:hint="eastAsia" w:ascii="宋体" w:hAnsi="宋体"/>
                <w:szCs w:val="21"/>
              </w:rPr>
              <w:t>）。疫苗免疫效果监测与评估工作由采购人统筹安排。</w:t>
            </w:r>
          </w:p>
          <w:p w14:paraId="1C7A3663">
            <w:pPr>
              <w:spacing w:line="360" w:lineRule="exact"/>
              <w:ind w:firstLine="420" w:firstLineChars="200"/>
              <w:rPr>
                <w:rFonts w:hint="eastAsia" w:ascii="宋体" w:hAnsi="宋体"/>
                <w:szCs w:val="21"/>
              </w:rPr>
            </w:pPr>
            <w:r>
              <w:rPr>
                <w:rFonts w:hint="eastAsia" w:ascii="宋体" w:hAnsi="宋体"/>
                <w:szCs w:val="21"/>
              </w:rPr>
              <w:t>5.中标人必须及时处理免疫应激死亡补偿事宜，建立动物注射疫苗后出现大面积应激反应的应急处置及补偿机制，补偿最低标准参照当地畜禽市场价格；</w:t>
            </w:r>
            <w:r>
              <w:rPr>
                <w:rFonts w:hint="eastAsia" w:ascii="宋体" w:hAnsi="宋体"/>
                <w:b/>
                <w:szCs w:val="21"/>
                <w:u w:val="single"/>
              </w:rPr>
              <w:t>投标人必须在投标文件中提供切实可行的补偿方案</w:t>
            </w:r>
            <w:r>
              <w:rPr>
                <w:rFonts w:hint="eastAsia" w:ascii="宋体" w:hAnsi="宋体"/>
                <w:szCs w:val="21"/>
              </w:rPr>
              <w:t>，并在其投标文件中详述一旦出现疫苗质量问题、引发免疫失败或引发疫情的责任事故的应急处置预案及相应的损失赔偿方式。</w:t>
            </w:r>
          </w:p>
          <w:p w14:paraId="1C8598F8">
            <w:pPr>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
                <w:szCs w:val="21"/>
                <w:u w:val="single"/>
              </w:rPr>
              <w:t>投标人必须承诺确保疫苗运输、贮藏、使用各环节的质量和使用效果的相关服务内容，并在投标文件中提供可操作性强的具体方案</w:t>
            </w:r>
            <w:r>
              <w:rPr>
                <w:rFonts w:hint="eastAsia" w:ascii="宋体" w:hAnsi="宋体"/>
                <w:szCs w:val="21"/>
              </w:rPr>
              <w:t>。</w:t>
            </w:r>
          </w:p>
          <w:p w14:paraId="054F3819">
            <w:pPr>
              <w:spacing w:line="360" w:lineRule="exact"/>
              <w:ind w:firstLine="420" w:firstLineChars="200"/>
              <w:rPr>
                <w:rFonts w:ascii="宋体" w:hAnsi="宋体"/>
                <w:szCs w:val="21"/>
              </w:rPr>
            </w:pPr>
            <w:r>
              <w:rPr>
                <w:rFonts w:hint="eastAsia" w:ascii="宋体" w:hAnsi="宋体"/>
                <w:szCs w:val="21"/>
              </w:rPr>
              <w:t>7.相关费用已包含在本次报价中，采购人不再另行支付。</w:t>
            </w:r>
          </w:p>
        </w:tc>
        <w:tc>
          <w:tcPr>
            <w:tcW w:w="3086" w:type="dxa"/>
          </w:tcPr>
          <w:p w14:paraId="5667F816">
            <w:pPr>
              <w:spacing w:line="360" w:lineRule="exact"/>
              <w:rPr>
                <w:rFonts w:ascii="宋体" w:hAnsi="宋体"/>
                <w:szCs w:val="21"/>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0ED9C4A4">
            <w:pPr>
              <w:spacing w:line="360" w:lineRule="exact"/>
              <w:rPr>
                <w:rFonts w:ascii="宋体" w:hAnsi="宋体"/>
                <w:szCs w:val="21"/>
              </w:rPr>
            </w:pPr>
            <w:r>
              <w:rPr>
                <w:rFonts w:hint="eastAsia" w:ascii="宋体" w:hAnsi="宋体"/>
                <w:szCs w:val="21"/>
              </w:rPr>
              <w:t>▲交货时间及地点</w:t>
            </w:r>
          </w:p>
        </w:tc>
        <w:tc>
          <w:tcPr>
            <w:tcW w:w="5439" w:type="dxa"/>
            <w:vAlign w:val="center"/>
          </w:tcPr>
          <w:p w14:paraId="2C24629F">
            <w:pPr>
              <w:spacing w:line="360" w:lineRule="exact"/>
              <w:ind w:firstLine="420" w:firstLineChars="200"/>
              <w:rPr>
                <w:rFonts w:hint="eastAsia" w:ascii="宋体" w:hAnsi="宋体"/>
                <w:szCs w:val="21"/>
              </w:rPr>
            </w:pPr>
            <w:r>
              <w:rPr>
                <w:rFonts w:hint="eastAsia" w:ascii="宋体" w:hAnsi="宋体"/>
                <w:szCs w:val="21"/>
              </w:rPr>
              <w:t>1.交货时间：接到采购人供货需求通知7日内，中标人应按照采购人要求的时间及时送达，送货时应提前2日通知采购人（含各市、县动物疫病预防控制机构）做好接货准备。提前或延期到货造成的损失由中标人承担。</w:t>
            </w:r>
          </w:p>
          <w:p w14:paraId="66ACC712">
            <w:pPr>
              <w:spacing w:line="360" w:lineRule="exact"/>
              <w:ind w:firstLine="420" w:firstLineChars="200"/>
              <w:rPr>
                <w:rFonts w:ascii="宋体" w:hAnsi="宋体"/>
                <w:szCs w:val="21"/>
              </w:rPr>
            </w:pPr>
            <w:r>
              <w:rPr>
                <w:rFonts w:hint="eastAsia" w:ascii="宋体" w:hAnsi="宋体"/>
                <w:szCs w:val="21"/>
              </w:rPr>
              <w:t>2.交货地点：广西动物疫病预防控制中心、广西14个市及所属的各县（市、区）动物疫病预防控制机构，具体在签订合同后另行约定。</w:t>
            </w:r>
          </w:p>
        </w:tc>
        <w:tc>
          <w:tcPr>
            <w:tcW w:w="3086" w:type="dxa"/>
          </w:tcPr>
          <w:p w14:paraId="02B00075">
            <w:pPr>
              <w:spacing w:line="360" w:lineRule="exact"/>
              <w:rPr>
                <w:rFonts w:ascii="宋体" w:hAnsi="宋体"/>
                <w:szCs w:val="21"/>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5212E0B4">
            <w:pPr>
              <w:spacing w:line="360" w:lineRule="exact"/>
              <w:rPr>
                <w:rFonts w:ascii="宋体" w:hAnsi="宋体"/>
                <w:szCs w:val="21"/>
              </w:rPr>
            </w:pPr>
            <w:r>
              <w:rPr>
                <w:rFonts w:hint="eastAsia" w:ascii="宋体" w:hAnsi="宋体"/>
                <w:szCs w:val="21"/>
              </w:rPr>
              <w:t>▲供货要求</w:t>
            </w:r>
          </w:p>
        </w:tc>
        <w:tc>
          <w:tcPr>
            <w:tcW w:w="5439" w:type="dxa"/>
            <w:vAlign w:val="center"/>
          </w:tcPr>
          <w:p w14:paraId="6BD5CFA1">
            <w:pPr>
              <w:spacing w:line="360" w:lineRule="exact"/>
              <w:ind w:firstLine="420" w:firstLineChars="200"/>
              <w:rPr>
                <w:rFonts w:ascii="宋体" w:hAnsi="宋体"/>
                <w:szCs w:val="21"/>
              </w:rPr>
            </w:pPr>
            <w:r>
              <w:rPr>
                <w:rFonts w:hint="eastAsia" w:ascii="宋体" w:hAnsi="宋体"/>
                <w:szCs w:val="21"/>
              </w:rPr>
              <w:t>中标人应按照投标承诺标准和采购人的需求及时供货，不得以缺货、生产线改造、运输延误等任何理由（除不可抗力因素外）拖延供货或不供货。对拖延供货或不供货的中标人，采购人有权终止合同，并出具不良记录报监督管理部门，中标人自行承担被列入政府采购黑名单的责任。对拖延供货或不供货的中标人，经采购人警告两次以上的，扣除履约保证金。</w:t>
            </w:r>
          </w:p>
        </w:tc>
        <w:tc>
          <w:tcPr>
            <w:tcW w:w="3086" w:type="dxa"/>
          </w:tcPr>
          <w:p w14:paraId="2781CEC5">
            <w:pPr>
              <w:spacing w:line="360" w:lineRule="exact"/>
              <w:rPr>
                <w:rFonts w:ascii="宋体" w:hAnsi="宋体"/>
                <w:bCs/>
                <w:szCs w:val="21"/>
              </w:rPr>
            </w:pPr>
          </w:p>
        </w:tc>
      </w:tr>
      <w:tr w14:paraId="125A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3B48312D">
            <w:pPr>
              <w:spacing w:line="360" w:lineRule="exact"/>
              <w:rPr>
                <w:rFonts w:ascii="宋体" w:hAnsi="宋体"/>
                <w:szCs w:val="21"/>
              </w:rPr>
            </w:pPr>
            <w:r>
              <w:rPr>
                <w:rFonts w:hint="eastAsia" w:ascii="宋体" w:hAnsi="宋体"/>
                <w:szCs w:val="21"/>
              </w:rPr>
              <w:t>▲付款条件</w:t>
            </w:r>
          </w:p>
        </w:tc>
        <w:tc>
          <w:tcPr>
            <w:tcW w:w="5439" w:type="dxa"/>
            <w:vAlign w:val="center"/>
          </w:tcPr>
          <w:p w14:paraId="423C2729">
            <w:pPr>
              <w:spacing w:line="360" w:lineRule="exact"/>
              <w:ind w:firstLine="420" w:firstLineChars="200"/>
              <w:rPr>
                <w:rFonts w:hint="eastAsia" w:ascii="宋体" w:hAnsi="宋体"/>
                <w:szCs w:val="21"/>
              </w:rPr>
            </w:pPr>
            <w:r>
              <w:rPr>
                <w:rFonts w:hint="eastAsia" w:ascii="宋体" w:hAnsi="宋体"/>
                <w:szCs w:val="21"/>
              </w:rPr>
              <w:t>1.签订合同后十个工作日内，采购人向中标人支付合同价款的30%作为预付款；</w:t>
            </w:r>
          </w:p>
          <w:p w14:paraId="1F1CD314">
            <w:pPr>
              <w:spacing w:line="360" w:lineRule="exact"/>
              <w:ind w:firstLine="420" w:firstLineChars="200"/>
              <w:rPr>
                <w:rFonts w:hint="eastAsia" w:ascii="宋体" w:hAnsi="宋体"/>
                <w:szCs w:val="21"/>
              </w:rPr>
            </w:pPr>
            <w:r>
              <w:rPr>
                <w:rFonts w:hint="eastAsia" w:ascii="宋体" w:hAnsi="宋体"/>
                <w:szCs w:val="21"/>
              </w:rPr>
              <w:t>2.每批次交货完成并验收合格后二十个工作日内，由采购人按批次支付中标人对应货款，直至累计支付合同金额的90%；</w:t>
            </w:r>
          </w:p>
          <w:p w14:paraId="166F1B32">
            <w:pPr>
              <w:spacing w:line="360" w:lineRule="exact"/>
              <w:ind w:firstLine="420" w:firstLineChars="200"/>
              <w:rPr>
                <w:rFonts w:hint="eastAsia" w:ascii="宋体" w:hAnsi="宋体"/>
                <w:szCs w:val="21"/>
              </w:rPr>
            </w:pPr>
            <w:r>
              <w:rPr>
                <w:rFonts w:hint="eastAsia" w:ascii="宋体" w:hAnsi="宋体"/>
                <w:szCs w:val="21"/>
              </w:rPr>
              <w:t>3.中标人提供完所有货物并验收合格后二十个工作日内，由采购人向中标人一次付清尾款，即合同金额的10%；</w:t>
            </w:r>
          </w:p>
          <w:p w14:paraId="3619EBC5">
            <w:pPr>
              <w:spacing w:line="360" w:lineRule="exact"/>
              <w:ind w:firstLine="420" w:firstLineChars="200"/>
              <w:rPr>
                <w:rFonts w:ascii="宋体" w:hAnsi="宋体"/>
                <w:szCs w:val="21"/>
              </w:rPr>
            </w:pPr>
            <w:r>
              <w:rPr>
                <w:rFonts w:hint="eastAsia" w:ascii="宋体" w:hAnsi="宋体"/>
                <w:szCs w:val="21"/>
              </w:rPr>
              <w:t>4.中标人在每次请款前，应将相关材料提交采购人，并自收到货款之日起三个工作日内开具发票给采购人。</w:t>
            </w:r>
          </w:p>
        </w:tc>
        <w:tc>
          <w:tcPr>
            <w:tcW w:w="3086" w:type="dxa"/>
          </w:tcPr>
          <w:p w14:paraId="50C280FE">
            <w:pPr>
              <w:spacing w:line="360" w:lineRule="exact"/>
              <w:rPr>
                <w:rFonts w:ascii="宋体" w:hAnsi="宋体"/>
                <w:szCs w:val="21"/>
              </w:rPr>
            </w:pPr>
          </w:p>
        </w:tc>
      </w:tr>
      <w:tr w14:paraId="0467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14E4B79E">
            <w:pPr>
              <w:spacing w:line="360" w:lineRule="exact"/>
              <w:rPr>
                <w:rFonts w:ascii="宋体" w:hAnsi="宋体"/>
                <w:szCs w:val="21"/>
              </w:rPr>
            </w:pPr>
            <w:r>
              <w:rPr>
                <w:rFonts w:hint="eastAsia" w:ascii="宋体" w:hAnsi="宋体"/>
                <w:szCs w:val="21"/>
              </w:rPr>
              <w:t>▲履约保证金</w:t>
            </w:r>
          </w:p>
        </w:tc>
        <w:tc>
          <w:tcPr>
            <w:tcW w:w="5439" w:type="dxa"/>
            <w:vAlign w:val="center"/>
          </w:tcPr>
          <w:p w14:paraId="53D0D26B">
            <w:pPr>
              <w:spacing w:line="360" w:lineRule="exact"/>
              <w:ind w:firstLine="420" w:firstLineChars="200"/>
              <w:rPr>
                <w:rFonts w:hint="eastAsia" w:ascii="宋体" w:hAnsi="宋体"/>
                <w:szCs w:val="21"/>
              </w:rPr>
            </w:pPr>
            <w:r>
              <w:rPr>
                <w:rFonts w:hint="eastAsia" w:ascii="宋体" w:hAnsi="宋体"/>
                <w:szCs w:val="21"/>
              </w:rPr>
              <w:t>1.履约保证金金额：按中标金额的2%交纳。</w:t>
            </w:r>
          </w:p>
          <w:p w14:paraId="4DAAAC17">
            <w:pPr>
              <w:spacing w:line="360" w:lineRule="exact"/>
              <w:ind w:firstLine="420" w:firstLineChars="200"/>
              <w:rPr>
                <w:rFonts w:hint="eastAsia" w:ascii="宋体" w:hAnsi="宋体"/>
                <w:szCs w:val="21"/>
              </w:rPr>
            </w:pPr>
            <w:r>
              <w:rPr>
                <w:rFonts w:hint="eastAsia" w:ascii="宋体" w:hAnsi="宋体"/>
                <w:szCs w:val="21"/>
              </w:rPr>
              <w:t>2.履约保证金递交方式：以银行转账、支票、汇票、本票或者银行、保险机构出具的保函等非现金形式提交。采用银行转账方式的，由中标人按规定的金额缴入采购人指定账户。</w:t>
            </w:r>
          </w:p>
          <w:p w14:paraId="44EBBE83">
            <w:pPr>
              <w:spacing w:line="360" w:lineRule="exact"/>
              <w:ind w:firstLine="420" w:firstLineChars="200"/>
              <w:rPr>
                <w:rFonts w:hint="eastAsia" w:ascii="宋体" w:hAnsi="宋体"/>
                <w:szCs w:val="21"/>
              </w:rPr>
            </w:pPr>
            <w:r>
              <w:rPr>
                <w:rFonts w:hint="eastAsia" w:ascii="宋体" w:hAnsi="宋体"/>
                <w:szCs w:val="21"/>
              </w:rPr>
              <w:t>3.履约保证金退付方式、时间及条件：售后服务验收合格后五个工作日内退还（无息）。</w:t>
            </w:r>
          </w:p>
          <w:p w14:paraId="33ADEC70">
            <w:pPr>
              <w:spacing w:line="360" w:lineRule="exact"/>
              <w:ind w:firstLine="420" w:firstLineChars="200"/>
              <w:rPr>
                <w:rFonts w:hint="eastAsia" w:ascii="宋体" w:hAnsi="宋体"/>
                <w:szCs w:val="21"/>
              </w:rPr>
            </w:pPr>
            <w:r>
              <w:rPr>
                <w:rFonts w:hint="eastAsia" w:ascii="宋体" w:hAnsi="宋体"/>
                <w:szCs w:val="21"/>
              </w:rPr>
              <w:t>开户名称：广西壮族自治区动物疫病预防控制中心</w:t>
            </w:r>
          </w:p>
          <w:p w14:paraId="0F21D1CE">
            <w:pPr>
              <w:spacing w:line="360" w:lineRule="exact"/>
              <w:ind w:firstLine="420" w:firstLineChars="200"/>
              <w:rPr>
                <w:rFonts w:hint="eastAsia" w:ascii="宋体" w:hAnsi="宋体"/>
                <w:szCs w:val="21"/>
              </w:rPr>
            </w:pPr>
            <w:r>
              <w:rPr>
                <w:rFonts w:hint="eastAsia" w:ascii="宋体" w:hAnsi="宋体"/>
                <w:szCs w:val="21"/>
              </w:rPr>
              <w:t>开户银行：农行南宁科技支行</w:t>
            </w:r>
          </w:p>
          <w:p w14:paraId="09340FF9">
            <w:pPr>
              <w:spacing w:line="360" w:lineRule="exact"/>
              <w:ind w:firstLine="420" w:firstLineChars="200"/>
              <w:rPr>
                <w:rFonts w:ascii="宋体" w:hAnsi="宋体"/>
                <w:szCs w:val="21"/>
              </w:rPr>
            </w:pPr>
            <w:r>
              <w:rPr>
                <w:rFonts w:hint="eastAsia" w:ascii="宋体" w:hAnsi="宋体"/>
                <w:szCs w:val="21"/>
              </w:rPr>
              <w:t>银行账号：20015701040000032</w:t>
            </w:r>
          </w:p>
        </w:tc>
        <w:tc>
          <w:tcPr>
            <w:tcW w:w="3086" w:type="dxa"/>
          </w:tcPr>
          <w:p w14:paraId="51507B54">
            <w:pPr>
              <w:spacing w:line="360" w:lineRule="exact"/>
              <w:rPr>
                <w:rFonts w:ascii="宋体" w:hAnsi="宋体"/>
                <w:szCs w:val="21"/>
              </w:rPr>
            </w:pPr>
          </w:p>
        </w:tc>
      </w:tr>
      <w:tr w14:paraId="3009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3B13F1E6">
            <w:pPr>
              <w:spacing w:line="360" w:lineRule="exact"/>
              <w:rPr>
                <w:rFonts w:ascii="宋体" w:hAnsi="宋体"/>
                <w:szCs w:val="21"/>
              </w:rPr>
            </w:pPr>
            <w:r>
              <w:rPr>
                <w:rFonts w:hint="eastAsia" w:ascii="宋体" w:hAnsi="宋体"/>
                <w:szCs w:val="21"/>
              </w:rPr>
              <w:t>▲验收要求</w:t>
            </w:r>
          </w:p>
        </w:tc>
        <w:tc>
          <w:tcPr>
            <w:tcW w:w="5439" w:type="dxa"/>
            <w:vAlign w:val="center"/>
          </w:tcPr>
          <w:p w14:paraId="7C1BC987">
            <w:pPr>
              <w:spacing w:line="360" w:lineRule="exact"/>
              <w:ind w:firstLine="420" w:firstLineChars="200"/>
              <w:rPr>
                <w:rFonts w:hint="eastAsia" w:ascii="宋体" w:hAnsi="宋体"/>
                <w:szCs w:val="21"/>
              </w:rPr>
            </w:pPr>
            <w:r>
              <w:rPr>
                <w:rFonts w:hint="eastAsia" w:ascii="宋体" w:hAnsi="宋体"/>
                <w:szCs w:val="21"/>
              </w:rPr>
              <w:t>1.农业农村部执行批签发的产品，中标人发出的每个批次的货物必须随货附有中国兽医药品监察所的批签发报告复印件，并加盖投标企业、厂家的公章，否则，采购人可拒绝接受验货。</w:t>
            </w:r>
          </w:p>
          <w:p w14:paraId="609B17D7">
            <w:pPr>
              <w:spacing w:line="360" w:lineRule="exact"/>
              <w:ind w:firstLine="420" w:firstLineChars="200"/>
              <w:rPr>
                <w:rFonts w:hint="eastAsia" w:ascii="宋体" w:hAnsi="宋体"/>
                <w:szCs w:val="21"/>
              </w:rPr>
            </w:pPr>
            <w:r>
              <w:rPr>
                <w:rFonts w:hint="eastAsia" w:ascii="宋体" w:hAnsi="宋体"/>
                <w:szCs w:val="21"/>
              </w:rPr>
              <w:t>2.疫苗运至采购人指定地点后，由疫苗使用单位（广西动物疫病预防控制中心、广西14个市及所属的各县（市、区）动物疫病预防控制机构）对温度自动监控记录仪检查并打印疫苗运输过程的温度记录情况，符合疫苗保存温度要求的，方可进行验收。验收时，由采购单位人员对疫苗发货单及疫苗名称、剂型、批准文号、标签、数量、规格、生产日期、批号、有效期、运输过程冷藏车工作状态及温度记录等内容一一核验，并开箱抽查，出现下列情况的，采购人一律拒收：</w:t>
            </w:r>
          </w:p>
          <w:p w14:paraId="38A6104C">
            <w:pPr>
              <w:spacing w:line="360" w:lineRule="exact"/>
              <w:ind w:firstLine="420" w:firstLineChars="200"/>
              <w:rPr>
                <w:rFonts w:hint="eastAsia" w:ascii="宋体" w:hAnsi="宋体"/>
                <w:szCs w:val="21"/>
              </w:rPr>
            </w:pPr>
            <w:r>
              <w:rPr>
                <w:rFonts w:hint="eastAsia" w:ascii="宋体" w:hAnsi="宋体"/>
                <w:szCs w:val="21"/>
              </w:rPr>
              <w:t>2.1运输过程无防晒、防破碎措施，温度自动监控记录仪的温度记录无法打印或虽能打印但疫苗运输储存温度不符合要求的；</w:t>
            </w:r>
          </w:p>
          <w:p w14:paraId="611BDC0C">
            <w:pPr>
              <w:spacing w:line="360" w:lineRule="exact"/>
              <w:ind w:firstLine="420" w:firstLineChars="200"/>
              <w:rPr>
                <w:rFonts w:hint="eastAsia" w:ascii="宋体" w:hAnsi="宋体"/>
                <w:szCs w:val="21"/>
              </w:rPr>
            </w:pPr>
            <w:r>
              <w:rPr>
                <w:rFonts w:hint="eastAsia" w:ascii="宋体" w:hAnsi="宋体"/>
                <w:szCs w:val="21"/>
              </w:rPr>
              <w:t>2.2产品包装、使用说明书或产品标示的企业名称、疫苗种类、剂型、批准文号、标签、数量、规格、生产日期、批号、有效期等不符合要求的；</w:t>
            </w:r>
          </w:p>
          <w:p w14:paraId="7C1FD836">
            <w:pPr>
              <w:spacing w:line="360" w:lineRule="exact"/>
              <w:ind w:firstLine="420" w:firstLineChars="200"/>
              <w:rPr>
                <w:rFonts w:hint="eastAsia" w:ascii="宋体" w:hAnsi="宋体"/>
                <w:szCs w:val="21"/>
              </w:rPr>
            </w:pPr>
            <w:r>
              <w:rPr>
                <w:rFonts w:hint="eastAsia" w:ascii="宋体" w:hAnsi="宋体"/>
                <w:szCs w:val="21"/>
              </w:rPr>
              <w:t>2.3外观检查，产品破损、包装容器破漏或内有异物、凝块、絮状物、霉团，或破乳分层、变色、变质等情况的；</w:t>
            </w:r>
          </w:p>
          <w:p w14:paraId="7F5E54BF">
            <w:pPr>
              <w:spacing w:line="360" w:lineRule="exact"/>
              <w:ind w:firstLine="420" w:firstLineChars="200"/>
              <w:rPr>
                <w:rFonts w:hint="eastAsia" w:ascii="宋体" w:hAnsi="宋体"/>
                <w:szCs w:val="21"/>
              </w:rPr>
            </w:pPr>
            <w:r>
              <w:rPr>
                <w:rFonts w:hint="eastAsia" w:ascii="宋体" w:hAnsi="宋体"/>
                <w:szCs w:val="21"/>
              </w:rPr>
              <w:t>2.4兽药监察机构抽检不合格的；</w:t>
            </w:r>
          </w:p>
          <w:p w14:paraId="648009CF">
            <w:pPr>
              <w:spacing w:line="360" w:lineRule="exact"/>
              <w:ind w:firstLine="420" w:firstLineChars="200"/>
              <w:rPr>
                <w:rFonts w:hint="eastAsia" w:ascii="宋体" w:hAnsi="宋体"/>
                <w:szCs w:val="21"/>
              </w:rPr>
            </w:pPr>
            <w:r>
              <w:rPr>
                <w:rFonts w:hint="eastAsia" w:ascii="宋体" w:hAnsi="宋体"/>
                <w:szCs w:val="21"/>
              </w:rPr>
              <w:t>2.5不符合合同规定的。</w:t>
            </w:r>
          </w:p>
          <w:p w14:paraId="2981ED01">
            <w:pPr>
              <w:spacing w:line="360" w:lineRule="exact"/>
              <w:ind w:firstLine="420" w:firstLineChars="200"/>
              <w:rPr>
                <w:rFonts w:hint="eastAsia" w:ascii="宋体" w:hAnsi="宋体"/>
                <w:szCs w:val="21"/>
              </w:rPr>
            </w:pPr>
            <w:r>
              <w:rPr>
                <w:rFonts w:hint="eastAsia" w:ascii="宋体" w:hAnsi="宋体"/>
                <w:szCs w:val="21"/>
              </w:rPr>
              <w:t>3.采购人根据发货清单验收，验收时双方（采购人和中标人）签字、盖章。采购人凭双方签字、盖章的发货清单、验收结算单付款。</w:t>
            </w:r>
          </w:p>
          <w:p w14:paraId="256FEAFD">
            <w:pPr>
              <w:spacing w:line="360" w:lineRule="exact"/>
              <w:ind w:firstLine="420" w:firstLineChars="200"/>
              <w:rPr>
                <w:rFonts w:hint="eastAsia" w:ascii="宋体" w:hAnsi="宋体"/>
                <w:szCs w:val="21"/>
              </w:rPr>
            </w:pPr>
            <w:r>
              <w:rPr>
                <w:rFonts w:hint="eastAsia" w:ascii="宋体" w:hAnsi="宋体"/>
                <w:szCs w:val="21"/>
              </w:rPr>
              <w:t>4.对验收不合格的产品，中标人应无条件退换。</w:t>
            </w:r>
          </w:p>
          <w:p w14:paraId="09C5C66A">
            <w:pPr>
              <w:spacing w:line="360" w:lineRule="exact"/>
              <w:ind w:firstLine="420" w:firstLineChars="200"/>
              <w:rPr>
                <w:rFonts w:ascii="宋体" w:hAnsi="宋体"/>
                <w:szCs w:val="21"/>
              </w:rPr>
            </w:pPr>
            <w:r>
              <w:rPr>
                <w:rFonts w:hint="eastAsia" w:ascii="宋体" w:hAnsi="宋体"/>
                <w:szCs w:val="21"/>
              </w:rPr>
              <w:t xml:space="preserve">5.验收标准：符合现行国家相关标准以及本项目的招标文件、中标人投标文件、采购合同以及补充协议（如有）的要求。 </w:t>
            </w:r>
          </w:p>
        </w:tc>
        <w:tc>
          <w:tcPr>
            <w:tcW w:w="3086" w:type="dxa"/>
          </w:tcPr>
          <w:p w14:paraId="6619354A">
            <w:pPr>
              <w:spacing w:line="360" w:lineRule="exact"/>
              <w:rPr>
                <w:rFonts w:ascii="宋体" w:hAnsi="宋体"/>
                <w:szCs w:val="21"/>
              </w:rPr>
            </w:pPr>
          </w:p>
        </w:tc>
      </w:tr>
      <w:tr w14:paraId="1F39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33990F35">
            <w:pPr>
              <w:spacing w:line="360" w:lineRule="exact"/>
              <w:rPr>
                <w:rFonts w:ascii="宋体" w:hAnsi="宋体"/>
                <w:szCs w:val="21"/>
              </w:rPr>
            </w:pPr>
            <w:r>
              <w:rPr>
                <w:rFonts w:hint="eastAsia" w:ascii="宋体" w:hAnsi="宋体"/>
                <w:szCs w:val="21"/>
              </w:rPr>
              <w:t>▲产品抽检</w:t>
            </w:r>
          </w:p>
        </w:tc>
        <w:tc>
          <w:tcPr>
            <w:tcW w:w="5439" w:type="dxa"/>
            <w:vAlign w:val="center"/>
          </w:tcPr>
          <w:p w14:paraId="2BE0A8DA">
            <w:pPr>
              <w:spacing w:line="360" w:lineRule="exact"/>
              <w:ind w:firstLine="420" w:firstLineChars="200"/>
              <w:rPr>
                <w:rFonts w:ascii="宋体" w:hAnsi="宋体"/>
                <w:szCs w:val="21"/>
              </w:rPr>
            </w:pPr>
            <w:r>
              <w:rPr>
                <w:rFonts w:hint="eastAsia" w:ascii="宋体" w:hAnsi="宋体"/>
                <w:szCs w:val="21"/>
              </w:rPr>
              <w:t>采购人可根据需要，在疫苗验收入库时对中标人提供的产品随机抽取样品（在中标人代表现场鉴证情况下），并委托第三方机构进行盲样检验。若供应的产品经检验存在不符合国家要求的，按“质量责任”第2条处理；未达到投标承诺的中标人应立即整改、兑现承诺，并承担因此造成的损失。抽检费用由该中标人承担。</w:t>
            </w:r>
          </w:p>
        </w:tc>
        <w:tc>
          <w:tcPr>
            <w:tcW w:w="3086" w:type="dxa"/>
          </w:tcPr>
          <w:p w14:paraId="2D9BA773">
            <w:pPr>
              <w:spacing w:line="360" w:lineRule="exact"/>
              <w:rPr>
                <w:rFonts w:ascii="宋体" w:hAnsi="宋体"/>
                <w:szCs w:val="21"/>
              </w:rPr>
            </w:pPr>
          </w:p>
        </w:tc>
      </w:tr>
      <w:tr w14:paraId="1D96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18B9B03D">
            <w:pPr>
              <w:spacing w:line="360" w:lineRule="exact"/>
              <w:rPr>
                <w:rFonts w:ascii="宋体" w:hAnsi="宋体"/>
                <w:szCs w:val="21"/>
              </w:rPr>
            </w:pPr>
            <w:r>
              <w:rPr>
                <w:rFonts w:hint="eastAsia" w:ascii="宋体" w:hAnsi="宋体"/>
                <w:szCs w:val="21"/>
              </w:rPr>
              <w:t>▲质量责任</w:t>
            </w:r>
          </w:p>
        </w:tc>
        <w:tc>
          <w:tcPr>
            <w:tcW w:w="5439" w:type="dxa"/>
            <w:vAlign w:val="center"/>
          </w:tcPr>
          <w:p w14:paraId="42C3EE29">
            <w:pPr>
              <w:spacing w:line="360" w:lineRule="exact"/>
              <w:ind w:firstLine="420" w:firstLineChars="200"/>
              <w:rPr>
                <w:rFonts w:hint="eastAsia" w:ascii="宋体" w:hAnsi="宋体"/>
                <w:szCs w:val="21"/>
              </w:rPr>
            </w:pPr>
            <w:r>
              <w:rPr>
                <w:rFonts w:hint="eastAsia" w:ascii="宋体" w:hAnsi="宋体"/>
                <w:szCs w:val="21"/>
              </w:rPr>
              <w:t>1.中标人供货产品应是完全符合国家标准规定的质量、性能和技术规格（包括包装上印刷的产品名称、文号、批号、商标、规格、失效日期、贮存条件、防伪标识、作用与用途、用法与用量、企业名称等）的产品，并达到采购人提出的其它要求。保证在规定温度、贮藏条件下运送，</w:t>
            </w:r>
            <w:r>
              <w:rPr>
                <w:rFonts w:hint="eastAsia" w:ascii="宋体" w:hAnsi="宋体"/>
                <w:b/>
                <w:szCs w:val="21"/>
                <w:u w:val="single"/>
              </w:rPr>
              <w:t>在投标文件中承诺的质量保证期内对任何质量问题负责</w:t>
            </w:r>
            <w:r>
              <w:rPr>
                <w:rFonts w:hint="eastAsia" w:ascii="宋体" w:hAnsi="宋体"/>
                <w:szCs w:val="21"/>
              </w:rPr>
              <w:t>。</w:t>
            </w:r>
          </w:p>
          <w:p w14:paraId="6A250F07">
            <w:pPr>
              <w:spacing w:line="360" w:lineRule="exact"/>
              <w:ind w:firstLine="420" w:firstLineChars="200"/>
              <w:rPr>
                <w:rFonts w:hint="eastAsia" w:ascii="宋体" w:hAnsi="宋体"/>
                <w:szCs w:val="21"/>
              </w:rPr>
            </w:pPr>
            <w:r>
              <w:rPr>
                <w:rFonts w:hint="eastAsia" w:ascii="宋体" w:hAnsi="宋体"/>
                <w:szCs w:val="21"/>
              </w:rPr>
              <w:t>2.若供应的产品经检验存在不符合国家规定要求等质量问题，或变更佐剂的，采购人可立即终止供货合同，将违约行为上报政府采购监督管理部门，依法接受财政部门处罚，中标人自行承担被列入政府采购黑名单的责任。</w:t>
            </w:r>
          </w:p>
          <w:p w14:paraId="2A783F87">
            <w:pPr>
              <w:spacing w:line="360" w:lineRule="exact"/>
              <w:ind w:firstLine="420" w:firstLineChars="200"/>
              <w:rPr>
                <w:rFonts w:hint="eastAsia" w:ascii="宋体" w:hAnsi="宋体"/>
                <w:szCs w:val="21"/>
              </w:rPr>
            </w:pPr>
            <w:r>
              <w:rPr>
                <w:rFonts w:hint="eastAsia" w:ascii="宋体" w:hAnsi="宋体"/>
                <w:szCs w:val="21"/>
              </w:rPr>
              <w:t>3.中标人应及时、妥善处理免疫应激反应补偿事宜，或委托有关单位处理，以确保采购人、使用方的权益。</w:t>
            </w:r>
          </w:p>
          <w:p w14:paraId="2C8D1004">
            <w:pPr>
              <w:spacing w:line="360" w:lineRule="exact"/>
              <w:ind w:firstLine="420" w:firstLineChars="200"/>
              <w:rPr>
                <w:rFonts w:hint="eastAsia" w:ascii="宋体" w:hAnsi="宋体"/>
                <w:szCs w:val="21"/>
              </w:rPr>
            </w:pPr>
            <w:r>
              <w:rPr>
                <w:rFonts w:hint="eastAsia" w:ascii="宋体" w:hAnsi="宋体"/>
                <w:szCs w:val="21"/>
              </w:rPr>
              <w:t>4.在规定的免疫保护期内，免疫后的动物仍然发生疫情的，双方组成调查组查明原因，如确因疫苗质量问题引起的，中标人按“售前、售中、售后服务要求”的第“5”点提出要求执行。</w:t>
            </w:r>
          </w:p>
          <w:p w14:paraId="6FA71CBB">
            <w:pPr>
              <w:spacing w:line="360" w:lineRule="exact"/>
              <w:ind w:firstLine="420" w:firstLineChars="200"/>
              <w:rPr>
                <w:rFonts w:ascii="宋体" w:hAnsi="宋体"/>
                <w:szCs w:val="21"/>
              </w:rPr>
            </w:pPr>
            <w:r>
              <w:rPr>
                <w:rFonts w:hint="eastAsia" w:ascii="宋体" w:hAnsi="宋体"/>
                <w:szCs w:val="21"/>
              </w:rPr>
              <w:t>5.满足招标文件提出的其他要求。</w:t>
            </w:r>
          </w:p>
        </w:tc>
        <w:tc>
          <w:tcPr>
            <w:tcW w:w="3086" w:type="dxa"/>
          </w:tcPr>
          <w:p w14:paraId="71DA55AC">
            <w:pPr>
              <w:spacing w:line="360" w:lineRule="exact"/>
              <w:rPr>
                <w:rFonts w:ascii="宋体" w:hAnsi="宋体"/>
                <w:szCs w:val="21"/>
              </w:rPr>
            </w:pPr>
          </w:p>
        </w:tc>
      </w:tr>
      <w:tr w14:paraId="0010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3783D978">
            <w:pPr>
              <w:spacing w:line="360" w:lineRule="exact"/>
              <w:rPr>
                <w:rFonts w:ascii="宋体" w:hAnsi="宋体"/>
                <w:szCs w:val="21"/>
              </w:rPr>
            </w:pPr>
            <w:r>
              <w:rPr>
                <w:rFonts w:hint="eastAsia" w:ascii="宋体" w:hAnsi="宋体"/>
                <w:szCs w:val="21"/>
              </w:rPr>
              <w:t>▲报价要求</w:t>
            </w:r>
          </w:p>
        </w:tc>
        <w:tc>
          <w:tcPr>
            <w:tcW w:w="5439" w:type="dxa"/>
            <w:vAlign w:val="center"/>
          </w:tcPr>
          <w:p w14:paraId="12F393CF">
            <w:pPr>
              <w:spacing w:line="360" w:lineRule="exact"/>
              <w:ind w:firstLine="420" w:firstLineChars="200"/>
              <w:rPr>
                <w:rFonts w:hint="eastAsia" w:ascii="宋体" w:hAnsi="宋体"/>
                <w:szCs w:val="21"/>
              </w:rPr>
            </w:pPr>
            <w:r>
              <w:rPr>
                <w:rFonts w:hint="eastAsia" w:ascii="宋体" w:hAnsi="宋体"/>
                <w:szCs w:val="21"/>
              </w:rPr>
              <w:t>本次报价须为人民币报价，投标报价是履行合同的最终价格，应包括设备及服务需求要求所需的一切费用总和，除另有约定外，中标价不因任何因素而调整：</w:t>
            </w:r>
          </w:p>
          <w:p w14:paraId="071D933A">
            <w:pPr>
              <w:spacing w:line="360" w:lineRule="exact"/>
              <w:ind w:firstLine="420" w:firstLineChars="200"/>
              <w:rPr>
                <w:rFonts w:ascii="宋体" w:hAnsi="宋体"/>
                <w:szCs w:val="21"/>
              </w:rPr>
            </w:pPr>
            <w:r>
              <w:rPr>
                <w:rFonts w:hint="eastAsia" w:ascii="宋体" w:hAnsi="宋体"/>
                <w:szCs w:val="21"/>
              </w:rPr>
              <w:t>货物完整报价包括货物税金、疫苗稀释液、运至最终目的地运输、储存、搬运、检测及抽检、验收（含换货验收）、保险以及伴随货物服务的有关一切费用（包括差旅、培训、疫苗使用效果监测、免疫应激反应处理、死亡畜禽补偿、免疫失败引发疫情时应急处置及确保疫苗质量及使用效果的其它相关服务等所有费用）。</w:t>
            </w:r>
          </w:p>
        </w:tc>
        <w:tc>
          <w:tcPr>
            <w:tcW w:w="3086" w:type="dxa"/>
          </w:tcPr>
          <w:p w14:paraId="2DEFED97">
            <w:pPr>
              <w:spacing w:line="360" w:lineRule="exact"/>
              <w:rPr>
                <w:rFonts w:ascii="宋体" w:hAnsi="宋体"/>
                <w:szCs w:val="21"/>
              </w:rPr>
            </w:pPr>
          </w:p>
        </w:tc>
      </w:tr>
      <w:tr w14:paraId="1A59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478ED0B1">
            <w:pPr>
              <w:spacing w:line="360" w:lineRule="exact"/>
              <w:rPr>
                <w:rFonts w:ascii="宋体" w:hAnsi="宋体"/>
                <w:szCs w:val="21"/>
              </w:rPr>
            </w:pPr>
            <w:r>
              <w:rPr>
                <w:rFonts w:hint="eastAsia" w:ascii="宋体" w:hAnsi="宋体"/>
                <w:szCs w:val="21"/>
              </w:rPr>
              <w:t>▲合同终止</w:t>
            </w:r>
          </w:p>
        </w:tc>
        <w:tc>
          <w:tcPr>
            <w:tcW w:w="5439" w:type="dxa"/>
            <w:vAlign w:val="center"/>
          </w:tcPr>
          <w:p w14:paraId="63BD8FB8">
            <w:pPr>
              <w:spacing w:line="360" w:lineRule="exact"/>
              <w:ind w:firstLine="420" w:firstLineChars="200"/>
              <w:rPr>
                <w:rFonts w:hint="eastAsia" w:ascii="宋体" w:hAnsi="宋体"/>
                <w:szCs w:val="21"/>
              </w:rPr>
            </w:pPr>
            <w:r>
              <w:rPr>
                <w:rFonts w:hint="eastAsia" w:ascii="宋体" w:hAnsi="宋体"/>
                <w:szCs w:val="21"/>
              </w:rPr>
              <w:t>在下列情况下，采购人有权向采购监督管理部门汇报后，经批准，采购人向中标人提出合同自然终止：</w:t>
            </w:r>
          </w:p>
          <w:p w14:paraId="71FDF6C4">
            <w:pPr>
              <w:spacing w:line="360" w:lineRule="exact"/>
              <w:ind w:firstLine="420" w:firstLineChars="200"/>
              <w:rPr>
                <w:rFonts w:hint="eastAsia" w:ascii="宋体" w:hAnsi="宋体"/>
                <w:szCs w:val="21"/>
              </w:rPr>
            </w:pPr>
            <w:r>
              <w:rPr>
                <w:rFonts w:hint="eastAsia" w:ascii="宋体" w:hAnsi="宋体"/>
                <w:szCs w:val="21"/>
              </w:rPr>
              <w:t>1.无法按采购人确定的供货期限供货的。</w:t>
            </w:r>
          </w:p>
          <w:p w14:paraId="669A255E">
            <w:pPr>
              <w:spacing w:line="360" w:lineRule="exact"/>
              <w:ind w:firstLine="420" w:firstLineChars="200"/>
              <w:rPr>
                <w:rFonts w:hint="eastAsia" w:ascii="宋体" w:hAnsi="宋体"/>
                <w:szCs w:val="21"/>
              </w:rPr>
            </w:pPr>
            <w:r>
              <w:rPr>
                <w:rFonts w:hint="eastAsia" w:ascii="宋体" w:hAnsi="宋体"/>
                <w:szCs w:val="21"/>
              </w:rPr>
              <w:t>2.因产品质量等原因造成最终用户不接受中标人的货物。</w:t>
            </w:r>
          </w:p>
          <w:p w14:paraId="077A4AFE">
            <w:pPr>
              <w:spacing w:line="360" w:lineRule="exact"/>
              <w:ind w:firstLine="420" w:firstLineChars="200"/>
              <w:rPr>
                <w:rFonts w:hint="eastAsia" w:ascii="宋体" w:hAnsi="宋体"/>
                <w:szCs w:val="21"/>
              </w:rPr>
            </w:pPr>
            <w:r>
              <w:rPr>
                <w:rFonts w:hint="eastAsia" w:ascii="宋体" w:hAnsi="宋体"/>
                <w:szCs w:val="21"/>
              </w:rPr>
              <w:t>3.产品发生重大质量事故。</w:t>
            </w:r>
          </w:p>
          <w:p w14:paraId="44495C96">
            <w:pPr>
              <w:spacing w:line="360" w:lineRule="exact"/>
              <w:ind w:firstLine="420" w:firstLineChars="200"/>
              <w:rPr>
                <w:rFonts w:hint="eastAsia" w:ascii="宋体" w:hAnsi="宋体"/>
                <w:szCs w:val="21"/>
              </w:rPr>
            </w:pPr>
            <w:r>
              <w:rPr>
                <w:rFonts w:hint="eastAsia" w:ascii="宋体" w:hAnsi="宋体"/>
                <w:szCs w:val="21"/>
              </w:rPr>
              <w:t>4.产品批准文号被吊销。</w:t>
            </w:r>
          </w:p>
          <w:p w14:paraId="5FE1AA84">
            <w:pPr>
              <w:spacing w:line="360" w:lineRule="exact"/>
              <w:ind w:firstLine="420" w:firstLineChars="200"/>
              <w:rPr>
                <w:rFonts w:hint="eastAsia" w:ascii="宋体" w:hAnsi="宋体"/>
                <w:szCs w:val="21"/>
              </w:rPr>
            </w:pPr>
            <w:r>
              <w:rPr>
                <w:rFonts w:hint="eastAsia" w:ascii="宋体" w:hAnsi="宋体"/>
                <w:szCs w:val="21"/>
              </w:rPr>
              <w:t>5.财政部门款项不到位。</w:t>
            </w:r>
          </w:p>
          <w:p w14:paraId="072FB2D3">
            <w:pPr>
              <w:spacing w:line="360" w:lineRule="exact"/>
              <w:ind w:firstLine="420" w:firstLineChars="200"/>
              <w:rPr>
                <w:rFonts w:ascii="宋体" w:hAnsi="宋体"/>
                <w:szCs w:val="21"/>
              </w:rPr>
            </w:pPr>
            <w:r>
              <w:rPr>
                <w:rFonts w:hint="eastAsia" w:ascii="宋体" w:hAnsi="宋体"/>
                <w:szCs w:val="21"/>
              </w:rPr>
              <w:t>6.国家政策发生改变。</w:t>
            </w:r>
          </w:p>
        </w:tc>
        <w:tc>
          <w:tcPr>
            <w:tcW w:w="3086" w:type="dxa"/>
          </w:tcPr>
          <w:p w14:paraId="2CC482F4">
            <w:pPr>
              <w:spacing w:line="360" w:lineRule="exact"/>
              <w:rPr>
                <w:rFonts w:ascii="宋体" w:hAnsi="宋体"/>
                <w:szCs w:val="21"/>
              </w:rPr>
            </w:pPr>
          </w:p>
        </w:tc>
      </w:tr>
      <w:tr w14:paraId="5D28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73532ABA">
            <w:pPr>
              <w:spacing w:line="360" w:lineRule="exact"/>
              <w:rPr>
                <w:rFonts w:hint="eastAsia" w:ascii="宋体" w:hAnsi="宋体"/>
                <w:szCs w:val="21"/>
              </w:rPr>
            </w:pPr>
            <w:r>
              <w:rPr>
                <w:rFonts w:hint="eastAsia" w:ascii="宋体" w:hAnsi="宋体"/>
                <w:szCs w:val="21"/>
              </w:rPr>
              <w:t>▲其他要求</w:t>
            </w:r>
          </w:p>
        </w:tc>
        <w:tc>
          <w:tcPr>
            <w:tcW w:w="5439" w:type="dxa"/>
            <w:vAlign w:val="center"/>
          </w:tcPr>
          <w:p w14:paraId="5F9B0AB4">
            <w:pPr>
              <w:spacing w:line="360" w:lineRule="exact"/>
              <w:ind w:firstLine="420" w:firstLineChars="200"/>
              <w:rPr>
                <w:rFonts w:hint="eastAsia" w:ascii="宋体" w:hAnsi="宋体"/>
                <w:szCs w:val="21"/>
              </w:rPr>
            </w:pPr>
            <w:r>
              <w:rPr>
                <w:rFonts w:hint="eastAsia" w:ascii="宋体" w:hAnsi="宋体"/>
                <w:szCs w:val="21"/>
              </w:rPr>
              <w:t>1.如遇国家和广西壮族自治区防疫政策调整，采购人可要求中标人免费更换为使用农业农村部批准的其他疫苗毒株生产的相应疫苗。</w:t>
            </w:r>
          </w:p>
          <w:p w14:paraId="65A4ECD1">
            <w:pPr>
              <w:spacing w:line="360" w:lineRule="exact"/>
              <w:ind w:firstLine="420" w:firstLineChars="200"/>
              <w:rPr>
                <w:rFonts w:hint="eastAsia" w:ascii="宋体" w:hAnsi="宋体"/>
                <w:szCs w:val="21"/>
              </w:rPr>
            </w:pPr>
            <w:r>
              <w:rPr>
                <w:rFonts w:hint="eastAsia" w:ascii="宋体" w:hAnsi="宋体"/>
                <w:szCs w:val="21"/>
              </w:rPr>
              <w:t>2.为确保紧急防控时动物疫苗能及时调拨到位，国家强制免疫疫苗投标人应承诺为采购人在广西南宁租用临时疫苗储备库及在广西境内运输疫苗提供必要协助（</w:t>
            </w:r>
            <w:r>
              <w:rPr>
                <w:rFonts w:hint="eastAsia" w:ascii="宋体" w:hAnsi="宋体"/>
                <w:b/>
                <w:szCs w:val="21"/>
                <w:u w:val="single"/>
              </w:rPr>
              <w:t>需在投标文件中有较具体的方案或措施</w:t>
            </w:r>
            <w:r>
              <w:rPr>
                <w:rFonts w:hint="eastAsia" w:ascii="宋体" w:hAnsi="宋体"/>
                <w:szCs w:val="21"/>
              </w:rPr>
              <w:t>）。相关费用应包含在本次报价中，采购人不再另行支付。</w:t>
            </w:r>
          </w:p>
          <w:p w14:paraId="4A38474F">
            <w:pPr>
              <w:spacing w:line="360" w:lineRule="exact"/>
              <w:ind w:firstLine="420" w:firstLineChars="200"/>
              <w:rPr>
                <w:rFonts w:hint="eastAsia" w:ascii="宋体" w:hAnsi="宋体"/>
                <w:szCs w:val="21"/>
              </w:rPr>
            </w:pPr>
            <w:r>
              <w:rPr>
                <w:rFonts w:hint="eastAsia" w:ascii="宋体" w:hAnsi="宋体"/>
                <w:szCs w:val="21"/>
              </w:rPr>
              <w:t>3.凡涉及要求提供检验报告或检测报告的（含评审加分项），中标人须在签订合同后的规定期限内将相关原件提供给采购人核对，如发现中标人提供虚假材料牟取中标的，将向财政部门报告，取消其中标资格并按财政部门规定予以处罚。</w:t>
            </w:r>
          </w:p>
        </w:tc>
        <w:tc>
          <w:tcPr>
            <w:tcW w:w="3086" w:type="dxa"/>
          </w:tcPr>
          <w:p w14:paraId="732C79E3">
            <w:pPr>
              <w:spacing w:line="360" w:lineRule="exact"/>
              <w:rPr>
                <w:rFonts w:ascii="宋体" w:hAnsi="宋体"/>
                <w:szCs w:val="21"/>
              </w:rPr>
            </w:pPr>
          </w:p>
        </w:tc>
      </w:tr>
    </w:tbl>
    <w:p w14:paraId="6BD95FD2">
      <w:pPr>
        <w:pStyle w:val="3"/>
      </w:pPr>
    </w:p>
    <w:p w14:paraId="2328715A">
      <w:pPr>
        <w:spacing w:line="360" w:lineRule="auto"/>
        <w:jc w:val="right"/>
        <w:rPr>
          <w:rFonts w:ascii="宋体" w:hAnsi="宋体"/>
        </w:rPr>
      </w:pPr>
      <w:r>
        <w:rPr>
          <w:rFonts w:hint="eastAsia" w:ascii="宋体" w:hAnsi="宋体"/>
        </w:rPr>
        <w:t>调查</w:t>
      </w:r>
      <w:r>
        <w:rPr>
          <w:rFonts w:ascii="宋体" w:hAnsi="宋体"/>
        </w:rPr>
        <w:t>机构</w:t>
      </w:r>
      <w:r>
        <w:rPr>
          <w:rFonts w:hint="eastAsia" w:ascii="宋体" w:hAnsi="宋体"/>
        </w:rPr>
        <w:t>：广西科文招标有限公司</w:t>
      </w:r>
    </w:p>
    <w:p w14:paraId="4A864426">
      <w:pPr>
        <w:spacing w:line="360" w:lineRule="auto"/>
        <w:jc w:val="right"/>
        <w:rPr>
          <w:rFonts w:hint="eastAsia" w:ascii="宋体" w:hAnsi="宋体"/>
        </w:rPr>
      </w:pPr>
      <w:r>
        <w:rPr>
          <w:rFonts w:hint="eastAsia" w:ascii="宋体" w:hAnsi="宋体"/>
        </w:rPr>
        <w:t>联系人：李工、银工，联系电话：0771-2023873</w:t>
      </w:r>
    </w:p>
    <w:p w14:paraId="120966B8">
      <w:pPr>
        <w:pStyle w:val="3"/>
        <w:jc w:val="right"/>
        <w:rPr>
          <w:rFonts w:hint="default" w:eastAsia="宋体"/>
          <w:lang w:val="en-US" w:eastAsia="zh-CN"/>
        </w:rPr>
      </w:pPr>
      <w:r>
        <w:rPr>
          <w:rFonts w:hint="eastAsia" w:ascii="宋体" w:hAnsi="宋体"/>
          <w:lang w:val="en-US" w:eastAsia="zh-CN"/>
        </w:rPr>
        <w:t>发布日期：2025年3月21日</w:t>
      </w:r>
    </w:p>
    <w:p w14:paraId="7C98E5F1">
      <w:pPr>
        <w:spacing w:line="400" w:lineRule="exact"/>
        <w:jc w:val="center"/>
        <w:rPr>
          <w:rFonts w:ascii="宋体" w:hAnsi="宋体" w:cs="宋体"/>
          <w:b/>
          <w:bCs/>
          <w:sz w:val="24"/>
          <w:szCs w:val="21"/>
        </w:rPr>
      </w:pPr>
    </w:p>
    <w:p w14:paraId="3B6D7A80">
      <w:pPr>
        <w:spacing w:line="360" w:lineRule="exact"/>
        <w:jc w:val="left"/>
        <w:rPr>
          <w:rFonts w:ascii="宋体" w:hAnsi="宋体" w:cs="宋体"/>
          <w:szCs w:val="21"/>
        </w:rPr>
      </w:pPr>
      <w:r>
        <w:rPr>
          <w:rFonts w:hint="eastAsia" w:ascii="宋体" w:hAnsi="宋体" w:cs="宋体"/>
          <w:szCs w:val="21"/>
        </w:rPr>
        <w:t>填表说明：</w:t>
      </w:r>
    </w:p>
    <w:p w14:paraId="360EAE11">
      <w:pPr>
        <w:spacing w:line="360" w:lineRule="exact"/>
        <w:jc w:val="left"/>
        <w:rPr>
          <w:rFonts w:ascii="宋体" w:hAnsi="宋体" w:cs="宋体"/>
          <w:szCs w:val="21"/>
        </w:rPr>
      </w:pPr>
      <w:r>
        <w:rPr>
          <w:rFonts w:hint="eastAsia" w:ascii="宋体" w:hAnsi="宋体" w:cs="宋体"/>
          <w:szCs w:val="21"/>
        </w:rPr>
        <w:t>1.调查问卷回复时间截止：202</w:t>
      </w:r>
      <w:r>
        <w:rPr>
          <w:rFonts w:hint="eastAsia" w:ascii="宋体" w:hAnsi="宋体" w:cs="宋体"/>
          <w:szCs w:val="21"/>
          <w:lang w:val="en-US" w:eastAsia="zh-CN"/>
        </w:rPr>
        <w:t>5</w:t>
      </w:r>
      <w:r>
        <w:rPr>
          <w:rFonts w:hint="eastAsia" w:ascii="宋体" w:hAnsi="宋体" w:cs="宋体"/>
          <w:szCs w:val="21"/>
        </w:rPr>
        <w:t>年3月</w:t>
      </w:r>
      <w:r>
        <w:rPr>
          <w:rFonts w:hint="eastAsia" w:ascii="宋体" w:hAnsi="宋体" w:cs="宋体"/>
          <w:szCs w:val="21"/>
          <w:lang w:val="en-US" w:eastAsia="zh-CN"/>
        </w:rPr>
        <w:t>26</w:t>
      </w:r>
      <w:bookmarkStart w:id="0" w:name="_GoBack"/>
      <w:bookmarkEnd w:id="0"/>
      <w:r>
        <w:rPr>
          <w:rFonts w:hint="eastAsia" w:ascii="宋体" w:hAnsi="宋体" w:cs="宋体"/>
          <w:szCs w:val="21"/>
        </w:rPr>
        <w:t>日18:00之前，回复接收邮箱：</w:t>
      </w:r>
      <w:r>
        <w:fldChar w:fldCharType="begin"/>
      </w:r>
      <w:r>
        <w:instrText xml:space="preserve"> HYPERLINK "mailto:2357709502@qq.com" </w:instrText>
      </w:r>
      <w:r>
        <w:fldChar w:fldCharType="separate"/>
      </w:r>
      <w:r>
        <w:rPr>
          <w:rStyle w:val="10"/>
          <w:rFonts w:hint="eastAsia" w:ascii="宋体" w:hAnsi="宋体" w:cs="宋体"/>
          <w:szCs w:val="21"/>
        </w:rPr>
        <w:t>2357709502</w:t>
      </w:r>
      <w:r>
        <w:rPr>
          <w:rStyle w:val="10"/>
          <w:rFonts w:ascii="宋体" w:hAnsi="宋体" w:cs="宋体"/>
          <w:szCs w:val="21"/>
        </w:rPr>
        <w:t>@qq.com</w:t>
      </w:r>
      <w:r>
        <w:rPr>
          <w:rStyle w:val="10"/>
          <w:rFonts w:ascii="宋体" w:hAnsi="宋体" w:cs="宋体"/>
          <w:szCs w:val="21"/>
        </w:rPr>
        <w:fldChar w:fldCharType="end"/>
      </w:r>
      <w:r>
        <w:rPr>
          <w:rFonts w:hint="eastAsia" w:ascii="宋体" w:hAnsi="宋体" w:cs="宋体"/>
          <w:szCs w:val="21"/>
        </w:rPr>
        <w:t>。</w:t>
      </w:r>
    </w:p>
    <w:p w14:paraId="70FA90AB">
      <w:pPr>
        <w:spacing w:line="360" w:lineRule="exact"/>
        <w:jc w:val="left"/>
        <w:rPr>
          <w:rFonts w:ascii="宋体" w:hAnsi="宋体" w:cs="宋体"/>
          <w:szCs w:val="21"/>
        </w:rPr>
      </w:pPr>
      <w:r>
        <w:rPr>
          <w:rFonts w:hint="eastAsia" w:ascii="宋体" w:hAnsi="宋体" w:cs="宋体"/>
          <w:szCs w:val="21"/>
        </w:rPr>
        <w:t>2.本问卷仅需提供盖公章的PDF文件1份和可修改WORD文件1份。（问卷回复必须加盖单位公章，填写联系人）</w:t>
      </w:r>
    </w:p>
    <w:p w14:paraId="196AA1B8">
      <w:pPr>
        <w:spacing w:line="400" w:lineRule="exact"/>
        <w:rPr>
          <w:rFonts w:ascii="宋体" w:hAnsi="宋体"/>
        </w:rPr>
      </w:pPr>
      <w:r>
        <w:rPr>
          <w:rFonts w:hint="eastAsia" w:ascii="宋体" w:hAnsi="宋体" w:cs="宋体"/>
          <w:szCs w:val="21"/>
        </w:rPr>
        <w:t>3.生产厂商可选填本企业生产产品的相关内容，其余产品相应内容可留空。</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EB93">
    <w:pPr>
      <w:pStyle w:val="5"/>
      <w:jc w:val="center"/>
    </w:pPr>
    <w:r>
      <w:fldChar w:fldCharType="begin"/>
    </w:r>
    <w:r>
      <w:instrText xml:space="preserve"> PAGE   \* MERGEFORMAT </w:instrText>
    </w:r>
    <w:r>
      <w:fldChar w:fldCharType="separate"/>
    </w:r>
    <w:r>
      <w:rPr>
        <w:lang w:val="zh-CN"/>
      </w:rPr>
      <w:t>8</w:t>
    </w:r>
    <w:r>
      <w:fldChar w:fldCharType="end"/>
    </w:r>
  </w:p>
  <w:p w14:paraId="3C89A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2U5ZTczMWFkMmEyZWM4Mzk1OWYxMmI4NDhkNmRjNGEifQ=="/>
  </w:docVars>
  <w:rsids>
    <w:rsidRoot w:val="005D1973"/>
    <w:rsid w:val="00047AEB"/>
    <w:rsid w:val="00067491"/>
    <w:rsid w:val="00074E60"/>
    <w:rsid w:val="0008018A"/>
    <w:rsid w:val="0008632A"/>
    <w:rsid w:val="000B2F25"/>
    <w:rsid w:val="000D35F0"/>
    <w:rsid w:val="0011311D"/>
    <w:rsid w:val="00114589"/>
    <w:rsid w:val="0014042F"/>
    <w:rsid w:val="00177985"/>
    <w:rsid w:val="00177E5E"/>
    <w:rsid w:val="001A6BF1"/>
    <w:rsid w:val="001C21F2"/>
    <w:rsid w:val="00231351"/>
    <w:rsid w:val="002509A2"/>
    <w:rsid w:val="002732E9"/>
    <w:rsid w:val="002F253E"/>
    <w:rsid w:val="002F42F2"/>
    <w:rsid w:val="00300BCE"/>
    <w:rsid w:val="0031172F"/>
    <w:rsid w:val="00386C80"/>
    <w:rsid w:val="003E251F"/>
    <w:rsid w:val="003E40F7"/>
    <w:rsid w:val="00457493"/>
    <w:rsid w:val="004C6AB4"/>
    <w:rsid w:val="004E2FD2"/>
    <w:rsid w:val="004F5612"/>
    <w:rsid w:val="00555652"/>
    <w:rsid w:val="0058524C"/>
    <w:rsid w:val="0059692D"/>
    <w:rsid w:val="005A6A2B"/>
    <w:rsid w:val="005D07E2"/>
    <w:rsid w:val="005D1973"/>
    <w:rsid w:val="005D27E2"/>
    <w:rsid w:val="006229CD"/>
    <w:rsid w:val="00674F41"/>
    <w:rsid w:val="00675A1F"/>
    <w:rsid w:val="00686FCC"/>
    <w:rsid w:val="006C3126"/>
    <w:rsid w:val="006E36B6"/>
    <w:rsid w:val="00726B32"/>
    <w:rsid w:val="00764D1B"/>
    <w:rsid w:val="007860AF"/>
    <w:rsid w:val="00796BF2"/>
    <w:rsid w:val="007B5F7E"/>
    <w:rsid w:val="007D3D30"/>
    <w:rsid w:val="007F3D96"/>
    <w:rsid w:val="00830522"/>
    <w:rsid w:val="0083491C"/>
    <w:rsid w:val="00860519"/>
    <w:rsid w:val="00866B20"/>
    <w:rsid w:val="008A741A"/>
    <w:rsid w:val="008E6F3B"/>
    <w:rsid w:val="009118D5"/>
    <w:rsid w:val="00913974"/>
    <w:rsid w:val="00917DBE"/>
    <w:rsid w:val="00942E30"/>
    <w:rsid w:val="009B6BF5"/>
    <w:rsid w:val="009D2929"/>
    <w:rsid w:val="009F0618"/>
    <w:rsid w:val="00A30772"/>
    <w:rsid w:val="00AE57C1"/>
    <w:rsid w:val="00B042BD"/>
    <w:rsid w:val="00B06196"/>
    <w:rsid w:val="00B134F5"/>
    <w:rsid w:val="00B15C7D"/>
    <w:rsid w:val="00B4371A"/>
    <w:rsid w:val="00B57281"/>
    <w:rsid w:val="00B60974"/>
    <w:rsid w:val="00B749BE"/>
    <w:rsid w:val="00B8639D"/>
    <w:rsid w:val="00C03872"/>
    <w:rsid w:val="00C12931"/>
    <w:rsid w:val="00C30DAA"/>
    <w:rsid w:val="00C67888"/>
    <w:rsid w:val="00CD6B24"/>
    <w:rsid w:val="00D151CF"/>
    <w:rsid w:val="00D31052"/>
    <w:rsid w:val="00D41A30"/>
    <w:rsid w:val="00D529FD"/>
    <w:rsid w:val="00D83311"/>
    <w:rsid w:val="00DB07EB"/>
    <w:rsid w:val="00DB2003"/>
    <w:rsid w:val="00DB6B61"/>
    <w:rsid w:val="00DD7D62"/>
    <w:rsid w:val="00E11D41"/>
    <w:rsid w:val="00E216D9"/>
    <w:rsid w:val="00E869F5"/>
    <w:rsid w:val="00EA0070"/>
    <w:rsid w:val="00EC00EB"/>
    <w:rsid w:val="00F06F72"/>
    <w:rsid w:val="00F1599B"/>
    <w:rsid w:val="00F2786F"/>
    <w:rsid w:val="00F82A2A"/>
    <w:rsid w:val="00F843E1"/>
    <w:rsid w:val="00F92D0A"/>
    <w:rsid w:val="00F93A12"/>
    <w:rsid w:val="00FE354C"/>
    <w:rsid w:val="03A75B2B"/>
    <w:rsid w:val="09801AC8"/>
    <w:rsid w:val="18630928"/>
    <w:rsid w:val="18BF7932"/>
    <w:rsid w:val="19EF64F3"/>
    <w:rsid w:val="1D37025D"/>
    <w:rsid w:val="1F8B1B50"/>
    <w:rsid w:val="1FC25A39"/>
    <w:rsid w:val="21944C5E"/>
    <w:rsid w:val="25BF4118"/>
    <w:rsid w:val="2FBB8410"/>
    <w:rsid w:val="30B359F5"/>
    <w:rsid w:val="32544E61"/>
    <w:rsid w:val="34893216"/>
    <w:rsid w:val="34BC3852"/>
    <w:rsid w:val="355164AD"/>
    <w:rsid w:val="37DF6C73"/>
    <w:rsid w:val="38AF6B6C"/>
    <w:rsid w:val="39637359"/>
    <w:rsid w:val="3D7F9C81"/>
    <w:rsid w:val="3EEB6E9C"/>
    <w:rsid w:val="3EFE0612"/>
    <w:rsid w:val="3FFF4474"/>
    <w:rsid w:val="45F4468E"/>
    <w:rsid w:val="4C7A1543"/>
    <w:rsid w:val="4E5F2316"/>
    <w:rsid w:val="573B211D"/>
    <w:rsid w:val="59FDA690"/>
    <w:rsid w:val="5D7FA88E"/>
    <w:rsid w:val="5EDF5CF8"/>
    <w:rsid w:val="656128A9"/>
    <w:rsid w:val="67E58C6F"/>
    <w:rsid w:val="67FFAA0C"/>
    <w:rsid w:val="6809433A"/>
    <w:rsid w:val="69BF7885"/>
    <w:rsid w:val="6EFCBDEC"/>
    <w:rsid w:val="6FFBEA34"/>
    <w:rsid w:val="735D7E78"/>
    <w:rsid w:val="773F45C7"/>
    <w:rsid w:val="79FFD7C6"/>
    <w:rsid w:val="7BEB750E"/>
    <w:rsid w:val="7BF62854"/>
    <w:rsid w:val="7FDBD6AE"/>
    <w:rsid w:val="7FEF3089"/>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pPr>
    <w:rPr>
      <w:szCs w:val="20"/>
    </w:rPr>
  </w:style>
  <w:style w:type="paragraph" w:styleId="4">
    <w:name w:val="Body Text Indent 2"/>
    <w:basedOn w:val="1"/>
    <w:link w:val="11"/>
    <w:unhideWhenUsed/>
    <w:qFormat/>
    <w:uiPriority w:val="99"/>
    <w:pPr>
      <w:spacing w:line="480" w:lineRule="auto"/>
      <w:ind w:left="420" w:leftChars="200"/>
    </w:pPr>
  </w:style>
  <w:style w:type="paragraph" w:styleId="5">
    <w:name w:val="footer"/>
    <w:basedOn w:val="1"/>
    <w:link w:val="12"/>
    <w:unhideWhenUsed/>
    <w:qFormat/>
    <w:uiPriority w:val="99"/>
    <w:pPr>
      <w:tabs>
        <w:tab w:val="center" w:pos="4153"/>
        <w:tab w:val="right" w:pos="8306"/>
      </w:tabs>
      <w:snapToGrid w:val="0"/>
      <w:jc w:val="left"/>
    </w:pPr>
    <w:rPr>
      <w:kern w:val="0"/>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unhideWhenUsed/>
    <w:qFormat/>
    <w:uiPriority w:val="99"/>
    <w:rPr>
      <w:color w:val="0000FF"/>
      <w:u w:val="single"/>
    </w:rPr>
  </w:style>
  <w:style w:type="character" w:customStyle="1" w:styleId="11">
    <w:name w:val="正文文本缩进 2 Char"/>
    <w:link w:val="4"/>
    <w:qFormat/>
    <w:uiPriority w:val="0"/>
    <w:rPr>
      <w:kern w:val="2"/>
      <w:sz w:val="21"/>
      <w:szCs w:val="24"/>
    </w:rPr>
  </w:style>
  <w:style w:type="character" w:customStyle="1" w:styleId="12">
    <w:name w:val="页脚 Char"/>
    <w:link w:val="5"/>
    <w:qFormat/>
    <w:uiPriority w:val="99"/>
    <w:rPr>
      <w:sz w:val="18"/>
      <w:szCs w:val="18"/>
    </w:rPr>
  </w:style>
  <w:style w:type="character" w:customStyle="1" w:styleId="13">
    <w:name w:val="页眉 Char"/>
    <w:link w:val="6"/>
    <w:semiHidden/>
    <w:qFormat/>
    <w:uiPriority w:val="99"/>
    <w:rPr>
      <w:sz w:val="18"/>
      <w:szCs w:val="18"/>
    </w:rPr>
  </w:style>
  <w:style w:type="paragraph" w:customStyle="1" w:styleId="14">
    <w:name w:val="Title1"/>
    <w:basedOn w:val="1"/>
    <w:next w:val="1"/>
    <w:qFormat/>
    <w:uiPriority w:val="0"/>
    <w:pPr>
      <w:jc w:val="center"/>
      <w:outlineLvl w:val="0"/>
    </w:pPr>
    <w:rPr>
      <w:rFonts w:ascii="Calibri Light" w:hAnsi="Calibri Light" w:eastAsia="Arial Unicode MS"/>
      <w:b/>
      <w:szCs w:val="24"/>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E83E-3246-4585-A333-88790D8F91E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7035</Words>
  <Characters>7769</Characters>
  <Lines>44</Lines>
  <Paragraphs>12</Paragraphs>
  <TotalTime>58</TotalTime>
  <ScaleCrop>false</ScaleCrop>
  <LinksUpToDate>false</LinksUpToDate>
  <CharactersWithSpaces>7875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YR</cp:lastModifiedBy>
  <dcterms:modified xsi:type="dcterms:W3CDTF">2025-03-21T07:37:52Z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96C81FE232E64C3D9DCC5D86D91910ED</vt:lpwstr>
  </property>
  <property fmtid="{D5CDD505-2E9C-101B-9397-08002B2CF9AE}" pid="4" name="KSOTemplateDocerSaveRecord">
    <vt:lpwstr>eyJoZGlkIjoiZTQwZmI5N2EyZWEzNWViMzMzNDY2ODg3MDJjZmRmYWIiLCJ1c2VySWQiOiIzNTM4NjE4NzMifQ==</vt:lpwstr>
  </property>
</Properties>
</file>