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0D7F5">
      <w:pPr>
        <w:pStyle w:val="3"/>
        <w:numPr>
          <w:ilvl w:val="0"/>
          <w:numId w:val="0"/>
        </w:numPr>
        <w:spacing w:line="240" w:lineRule="auto"/>
        <w:ind w:firstLine="964" w:firstLineChars="200"/>
        <w:jc w:val="center"/>
        <w:rPr>
          <w:rFonts w:hint="eastAsia"/>
          <w:sz w:val="48"/>
          <w:szCs w:val="48"/>
          <w:lang w:val="en-US" w:eastAsia="zh-CN"/>
        </w:rPr>
      </w:pPr>
      <w:bookmarkStart w:id="0" w:name="_Toc522353585"/>
      <w:bookmarkStart w:id="1" w:name="_Toc12348"/>
      <w:r>
        <w:rPr>
          <w:rFonts w:hint="eastAsia"/>
          <w:sz w:val="48"/>
          <w:szCs w:val="48"/>
        </w:rPr>
        <w:t>广西旅发集团广西自贸区医院</w:t>
      </w:r>
      <w:r>
        <w:rPr>
          <w:rFonts w:hint="eastAsia"/>
          <w:sz w:val="48"/>
          <w:szCs w:val="48"/>
          <w:lang w:val="en-US" w:eastAsia="zh-CN"/>
        </w:rPr>
        <w:t>监护型</w:t>
      </w:r>
    </w:p>
    <w:p w14:paraId="0B164FC7">
      <w:pPr>
        <w:pStyle w:val="3"/>
        <w:numPr>
          <w:ilvl w:val="0"/>
          <w:numId w:val="0"/>
        </w:numPr>
        <w:spacing w:line="240" w:lineRule="auto"/>
        <w:ind w:firstLine="964" w:firstLineChars="200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救护车采购需求</w:t>
      </w:r>
      <w:bookmarkEnd w:id="0"/>
      <w:bookmarkEnd w:id="1"/>
    </w:p>
    <w:p w14:paraId="27A2702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▲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的整车产品交付前须是已列入国家发改委或工信部发布的《车辆生产企业及产品公告目录》中列明的“救护车”车型，提供证明材料，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时必须提供工信部汽车公告目录截图证明。</w:t>
      </w:r>
    </w:p>
    <w:p w14:paraId="4D5F33FD">
      <w:pPr>
        <w:ind w:firstLine="422" w:firstLineChars="200"/>
      </w:pPr>
      <w:r>
        <w:rPr>
          <w:rFonts w:hint="eastAsia" w:ascii="宋体" w:hAnsi="宋体" w:eastAsia="宋体" w:cs="宋体"/>
          <w:b/>
          <w:color w:val="auto"/>
          <w:szCs w:val="21"/>
        </w:rPr>
        <w:t>▲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基本要求：符合现行机动车安全技术国标要求，且在中华人民共和国工业和信息化部现行《道路机动车辆生产企业及产品》公告中具有救护车公告目录，能在采购人所在地公安交通管理部门办理救护车登记注册手续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时出具</w:t>
      </w:r>
      <w:r>
        <w:rPr>
          <w:rFonts w:hint="eastAsia" w:ascii="宋体" w:hAnsi="宋体" w:eastAsia="宋体" w:cs="宋体"/>
          <w:color w:val="auto"/>
          <w:lang w:val="en-US" w:eastAsia="zh-CN"/>
        </w:rPr>
        <w:t>承诺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可办理救护车登记注册手续的承诺书。</w:t>
      </w:r>
    </w:p>
    <w:tbl>
      <w:tblPr>
        <w:tblStyle w:val="13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492"/>
        <w:gridCol w:w="1492"/>
        <w:gridCol w:w="637"/>
        <w:gridCol w:w="1921"/>
        <w:gridCol w:w="2530"/>
      </w:tblGrid>
      <w:tr w14:paraId="686E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492" w:type="dxa"/>
            <w:vAlign w:val="center"/>
          </w:tcPr>
          <w:p w14:paraId="4DA8BFE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货物名称</w:t>
            </w:r>
          </w:p>
        </w:tc>
        <w:tc>
          <w:tcPr>
            <w:tcW w:w="1492" w:type="dxa"/>
            <w:vAlign w:val="center"/>
          </w:tcPr>
          <w:p w14:paraId="3E3F5B58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数量（台）</w:t>
            </w:r>
          </w:p>
        </w:tc>
        <w:tc>
          <w:tcPr>
            <w:tcW w:w="1492" w:type="dxa"/>
            <w:vAlign w:val="center"/>
          </w:tcPr>
          <w:p w14:paraId="07A18B1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保修期限</w:t>
            </w:r>
          </w:p>
        </w:tc>
        <w:tc>
          <w:tcPr>
            <w:tcW w:w="5088" w:type="dxa"/>
            <w:gridSpan w:val="3"/>
            <w:vAlign w:val="center"/>
          </w:tcPr>
          <w:p w14:paraId="2599E12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车辆基本技术参数</w:t>
            </w:r>
          </w:p>
        </w:tc>
      </w:tr>
      <w:tr w14:paraId="56C2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restart"/>
            <w:vAlign w:val="center"/>
          </w:tcPr>
          <w:p w14:paraId="22DC89D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</w:rPr>
            </w:pPr>
            <w:bookmarkStart w:id="2" w:name="_GoBack" w:colFirst="0" w:colLast="2"/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</w:rPr>
              <w:t>监护型救护车</w:t>
            </w:r>
          </w:p>
        </w:tc>
        <w:tc>
          <w:tcPr>
            <w:tcW w:w="1492" w:type="dxa"/>
            <w:vMerge w:val="restart"/>
            <w:vAlign w:val="center"/>
          </w:tcPr>
          <w:p w14:paraId="0270477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492" w:type="dxa"/>
            <w:vMerge w:val="restart"/>
            <w:vAlign w:val="center"/>
          </w:tcPr>
          <w:p w14:paraId="541518E3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3年或10万公里（两者以先发生为准）</w:t>
            </w:r>
          </w:p>
        </w:tc>
        <w:tc>
          <w:tcPr>
            <w:tcW w:w="637" w:type="dxa"/>
            <w:vAlign w:val="center"/>
          </w:tcPr>
          <w:p w14:paraId="521CCBF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▲</w:t>
            </w: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1921" w:type="dxa"/>
            <w:vAlign w:val="center"/>
          </w:tcPr>
          <w:p w14:paraId="0C9257F1">
            <w:pPr>
              <w:jc w:val="both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车辆底盘</w:t>
            </w:r>
          </w:p>
        </w:tc>
        <w:tc>
          <w:tcPr>
            <w:tcW w:w="2530" w:type="dxa"/>
            <w:vAlign w:val="center"/>
          </w:tcPr>
          <w:p w14:paraId="21ABB4FF">
            <w:pPr>
              <w:ind w:firstLine="210" w:firstLineChars="100"/>
              <w:jc w:val="left"/>
              <w:rPr>
                <w:rFonts w:hint="default" w:asciiTheme="minorEastAsia" w:hAnsiTheme="minorEastAsia" w:cs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车辆改装底盘须为福特T8长轴高顶手动挡柴油车</w:t>
            </w:r>
          </w:p>
        </w:tc>
      </w:tr>
      <w:bookmarkEnd w:id="2"/>
      <w:tr w14:paraId="4965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1E22469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E30466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D55B919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2B329C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▲2</w:t>
            </w:r>
          </w:p>
        </w:tc>
        <w:tc>
          <w:tcPr>
            <w:tcW w:w="1921" w:type="dxa"/>
            <w:vAlign w:val="center"/>
          </w:tcPr>
          <w:p w14:paraId="37A9D35E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车体尺寸（长X宽x高mm）</w:t>
            </w:r>
          </w:p>
        </w:tc>
        <w:tc>
          <w:tcPr>
            <w:tcW w:w="2530" w:type="dxa"/>
            <w:vAlign w:val="center"/>
          </w:tcPr>
          <w:p w14:paraId="497F8E90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Theme="minorEastAsia" w:hAnsiTheme="minorEastAsia" w:cstheme="minorEastAsia"/>
                <w:szCs w:val="21"/>
              </w:rPr>
              <w:t>5998×2068×2775</w:t>
            </w:r>
          </w:p>
        </w:tc>
      </w:tr>
      <w:tr w14:paraId="3536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3B6BA854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F74D61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E8AB87A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59DD730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▲3</w:t>
            </w:r>
          </w:p>
        </w:tc>
        <w:tc>
          <w:tcPr>
            <w:tcW w:w="1921" w:type="dxa"/>
            <w:vAlign w:val="center"/>
          </w:tcPr>
          <w:p w14:paraId="6B8ABE1B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医疗舱内尺寸(长X宽x高mm)</w:t>
            </w:r>
          </w:p>
        </w:tc>
        <w:tc>
          <w:tcPr>
            <w:tcW w:w="2530" w:type="dxa"/>
            <w:vAlign w:val="center"/>
          </w:tcPr>
          <w:p w14:paraId="7EC203DB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Theme="minorEastAsia" w:hAnsiTheme="minorEastAsia" w:cstheme="minorEastAsia"/>
                <w:szCs w:val="21"/>
              </w:rPr>
              <w:t>3000×1850×2000</w:t>
            </w:r>
          </w:p>
        </w:tc>
      </w:tr>
      <w:tr w14:paraId="60DF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3BFDAC4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B975843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28B4E0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2BDE9C4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1921" w:type="dxa"/>
            <w:vAlign w:val="center"/>
          </w:tcPr>
          <w:p w14:paraId="2A2857CC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总质量（kg）</w:t>
            </w:r>
          </w:p>
        </w:tc>
        <w:tc>
          <w:tcPr>
            <w:tcW w:w="2530" w:type="dxa"/>
            <w:vAlign w:val="center"/>
          </w:tcPr>
          <w:p w14:paraId="46D110EF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≤4100</w:t>
            </w:r>
          </w:p>
        </w:tc>
      </w:tr>
      <w:tr w14:paraId="475E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5EFA6DB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CD4CEE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2F985F0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2BF0F8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921" w:type="dxa"/>
            <w:vAlign w:val="center"/>
          </w:tcPr>
          <w:p w14:paraId="77D3FB87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整备质量（kg）</w:t>
            </w:r>
          </w:p>
        </w:tc>
        <w:tc>
          <w:tcPr>
            <w:tcW w:w="2530" w:type="dxa"/>
            <w:vAlign w:val="center"/>
          </w:tcPr>
          <w:p w14:paraId="26DCCF23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≤3150</w:t>
            </w:r>
          </w:p>
        </w:tc>
      </w:tr>
      <w:tr w14:paraId="28E7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6EFA1BF9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26AC48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B2C243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925F79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1921" w:type="dxa"/>
            <w:vAlign w:val="center"/>
          </w:tcPr>
          <w:p w14:paraId="574D48AF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发动机型号</w:t>
            </w:r>
          </w:p>
        </w:tc>
        <w:tc>
          <w:tcPr>
            <w:tcW w:w="2530" w:type="dxa"/>
            <w:vAlign w:val="center"/>
          </w:tcPr>
          <w:p w14:paraId="5CE51B73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DURATORQ4D236H</w:t>
            </w:r>
          </w:p>
        </w:tc>
      </w:tr>
      <w:tr w14:paraId="6163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5E40C6E7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F65368B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3BED9E8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F3AE6D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▲</w:t>
            </w:r>
            <w:r>
              <w:rPr>
                <w:rFonts w:hint="eastAsia"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1921" w:type="dxa"/>
            <w:vAlign w:val="center"/>
          </w:tcPr>
          <w:p w14:paraId="489259A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燃油种类</w:t>
            </w:r>
          </w:p>
        </w:tc>
        <w:tc>
          <w:tcPr>
            <w:tcW w:w="2530" w:type="dxa"/>
            <w:vAlign w:val="center"/>
          </w:tcPr>
          <w:p w14:paraId="57925C3C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柴油</w:t>
            </w:r>
          </w:p>
        </w:tc>
      </w:tr>
      <w:tr w14:paraId="7122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5A698A6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B5BF1F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025B27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5895791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1921" w:type="dxa"/>
            <w:vAlign w:val="center"/>
          </w:tcPr>
          <w:p w14:paraId="6FE3B86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油箱容积（L）</w:t>
            </w:r>
          </w:p>
        </w:tc>
        <w:tc>
          <w:tcPr>
            <w:tcW w:w="2530" w:type="dxa"/>
            <w:vAlign w:val="center"/>
          </w:tcPr>
          <w:p w14:paraId="3FF3F669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Theme="minorEastAsia" w:hAnsiTheme="minorEastAsia" w:cstheme="minorEastAsia"/>
                <w:szCs w:val="21"/>
              </w:rPr>
              <w:t>80</w:t>
            </w:r>
          </w:p>
        </w:tc>
      </w:tr>
      <w:tr w14:paraId="68BB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287F32C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2EE0386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39D732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12028EF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▲9</w:t>
            </w:r>
          </w:p>
        </w:tc>
        <w:tc>
          <w:tcPr>
            <w:tcW w:w="1921" w:type="dxa"/>
            <w:vAlign w:val="center"/>
          </w:tcPr>
          <w:p w14:paraId="143148FB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功率（kw）</w:t>
            </w:r>
          </w:p>
        </w:tc>
        <w:tc>
          <w:tcPr>
            <w:tcW w:w="2530" w:type="dxa"/>
            <w:vAlign w:val="center"/>
          </w:tcPr>
          <w:p w14:paraId="6D7283F8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Theme="minorEastAsia" w:hAnsiTheme="minorEastAsia" w:cstheme="minorEastAsia"/>
                <w:szCs w:val="21"/>
              </w:rPr>
              <w:t>128</w:t>
            </w:r>
          </w:p>
        </w:tc>
      </w:tr>
      <w:tr w14:paraId="06A7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4CC9A927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DB48FEF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1F530D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50E36B9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▲10</w:t>
            </w:r>
          </w:p>
        </w:tc>
        <w:tc>
          <w:tcPr>
            <w:tcW w:w="1921" w:type="dxa"/>
            <w:vAlign w:val="center"/>
          </w:tcPr>
          <w:p w14:paraId="14BA262C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排量（ml）</w:t>
            </w:r>
          </w:p>
        </w:tc>
        <w:tc>
          <w:tcPr>
            <w:tcW w:w="2530" w:type="dxa"/>
            <w:vAlign w:val="center"/>
          </w:tcPr>
          <w:p w14:paraId="6A86E52C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Theme="minorEastAsia" w:hAnsiTheme="minorEastAsia" w:cstheme="minorEastAsia"/>
                <w:szCs w:val="21"/>
              </w:rPr>
              <w:t>2296</w:t>
            </w:r>
          </w:p>
        </w:tc>
      </w:tr>
      <w:tr w14:paraId="6597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2E07F37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528330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36317D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7AB2DEE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11</w:t>
            </w:r>
          </w:p>
        </w:tc>
        <w:tc>
          <w:tcPr>
            <w:tcW w:w="1921" w:type="dxa"/>
            <w:vAlign w:val="center"/>
          </w:tcPr>
          <w:p w14:paraId="1045D48F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进气形式</w:t>
            </w:r>
          </w:p>
        </w:tc>
        <w:tc>
          <w:tcPr>
            <w:tcW w:w="2530" w:type="dxa"/>
            <w:vAlign w:val="center"/>
          </w:tcPr>
          <w:p w14:paraId="6EA5FEC8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涡轮增压</w:t>
            </w:r>
          </w:p>
        </w:tc>
      </w:tr>
      <w:tr w14:paraId="490C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5B43C44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910F02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8D61B3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7179020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12</w:t>
            </w:r>
          </w:p>
        </w:tc>
        <w:tc>
          <w:tcPr>
            <w:tcW w:w="1921" w:type="dxa"/>
            <w:vAlign w:val="center"/>
          </w:tcPr>
          <w:p w14:paraId="323BE95B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发动机气缸</w:t>
            </w:r>
          </w:p>
        </w:tc>
        <w:tc>
          <w:tcPr>
            <w:tcW w:w="2530" w:type="dxa"/>
            <w:vAlign w:val="center"/>
          </w:tcPr>
          <w:p w14:paraId="28542B87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直列4缸</w:t>
            </w:r>
          </w:p>
        </w:tc>
      </w:tr>
      <w:tr w14:paraId="2303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388DDB1A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2195D7B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15E5264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2E71F7D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13</w:t>
            </w:r>
          </w:p>
        </w:tc>
        <w:tc>
          <w:tcPr>
            <w:tcW w:w="1921" w:type="dxa"/>
            <w:vAlign w:val="center"/>
          </w:tcPr>
          <w:p w14:paraId="3E3C8037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排放标准</w:t>
            </w:r>
          </w:p>
        </w:tc>
        <w:tc>
          <w:tcPr>
            <w:tcW w:w="2530" w:type="dxa"/>
            <w:vAlign w:val="center"/>
          </w:tcPr>
          <w:p w14:paraId="474E4297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GB17691-2018国Ⅵ</w:t>
            </w:r>
          </w:p>
        </w:tc>
      </w:tr>
      <w:tr w14:paraId="6B28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372382D0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0E070A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369078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7D5665F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▲14</w:t>
            </w:r>
          </w:p>
        </w:tc>
        <w:tc>
          <w:tcPr>
            <w:tcW w:w="1921" w:type="dxa"/>
            <w:vAlign w:val="center"/>
          </w:tcPr>
          <w:p w14:paraId="1389866E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轴距（mm）</w:t>
            </w:r>
          </w:p>
        </w:tc>
        <w:tc>
          <w:tcPr>
            <w:tcW w:w="2530" w:type="dxa"/>
            <w:vAlign w:val="center"/>
          </w:tcPr>
          <w:p w14:paraId="4FA72E7B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≤3750</w:t>
            </w:r>
          </w:p>
        </w:tc>
      </w:tr>
      <w:tr w14:paraId="6FA3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495782B9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DD1C3E3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A804874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2F70A64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15</w:t>
            </w:r>
          </w:p>
        </w:tc>
        <w:tc>
          <w:tcPr>
            <w:tcW w:w="1921" w:type="dxa"/>
            <w:vAlign w:val="center"/>
          </w:tcPr>
          <w:p w14:paraId="096901A7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前后轮距（mm）</w:t>
            </w:r>
          </w:p>
        </w:tc>
        <w:tc>
          <w:tcPr>
            <w:tcW w:w="2530" w:type="dxa"/>
            <w:vAlign w:val="center"/>
          </w:tcPr>
          <w:p w14:paraId="6AD2B49C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1734/1759</w:t>
            </w:r>
          </w:p>
        </w:tc>
      </w:tr>
      <w:tr w14:paraId="2C6B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3E5149B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ED48373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2018C8FE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3AF14C7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16</w:t>
            </w:r>
          </w:p>
        </w:tc>
        <w:tc>
          <w:tcPr>
            <w:tcW w:w="1921" w:type="dxa"/>
            <w:vAlign w:val="center"/>
          </w:tcPr>
          <w:p w14:paraId="45C981FD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前悬/后悬（mm）</w:t>
            </w:r>
          </w:p>
        </w:tc>
        <w:tc>
          <w:tcPr>
            <w:tcW w:w="2530" w:type="dxa"/>
            <w:vAlign w:val="center"/>
          </w:tcPr>
          <w:p w14:paraId="522E21E0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1023/1225</w:t>
            </w:r>
          </w:p>
        </w:tc>
      </w:tr>
      <w:tr w14:paraId="2EE0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0494587F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4437D4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12673B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1B5FC60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17</w:t>
            </w:r>
          </w:p>
        </w:tc>
        <w:tc>
          <w:tcPr>
            <w:tcW w:w="1921" w:type="dxa"/>
            <w:vAlign w:val="center"/>
          </w:tcPr>
          <w:p w14:paraId="7E737B2D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驱动方式</w:t>
            </w:r>
          </w:p>
        </w:tc>
        <w:tc>
          <w:tcPr>
            <w:tcW w:w="2530" w:type="dxa"/>
            <w:vAlign w:val="center"/>
          </w:tcPr>
          <w:p w14:paraId="78D8C0D9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前置后驱</w:t>
            </w:r>
          </w:p>
        </w:tc>
      </w:tr>
      <w:tr w14:paraId="34E5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018F91F8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014D8DC8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7739C97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475362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▲</w:t>
            </w:r>
            <w:r>
              <w:rPr>
                <w:rFonts w:hint="eastAsia" w:asciiTheme="minorEastAsia" w:hAnsiTheme="minorEastAsia" w:cstheme="minorEastAsia"/>
                <w:szCs w:val="21"/>
              </w:rPr>
              <w:t>18</w:t>
            </w:r>
          </w:p>
        </w:tc>
        <w:tc>
          <w:tcPr>
            <w:tcW w:w="1921" w:type="dxa"/>
            <w:vAlign w:val="center"/>
          </w:tcPr>
          <w:p w14:paraId="2DF51260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变速箱</w:t>
            </w:r>
          </w:p>
        </w:tc>
        <w:tc>
          <w:tcPr>
            <w:tcW w:w="2530" w:type="dxa"/>
            <w:vAlign w:val="center"/>
          </w:tcPr>
          <w:p w14:paraId="6CB399DB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6挡手动</w:t>
            </w:r>
          </w:p>
        </w:tc>
      </w:tr>
      <w:tr w14:paraId="6192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2FC0B84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AB772C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B390AA9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151844F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19</w:t>
            </w:r>
          </w:p>
        </w:tc>
        <w:tc>
          <w:tcPr>
            <w:tcW w:w="1921" w:type="dxa"/>
            <w:vAlign w:val="center"/>
          </w:tcPr>
          <w:p w14:paraId="5A6C4A3F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最高车速（km/h）</w:t>
            </w:r>
          </w:p>
        </w:tc>
        <w:tc>
          <w:tcPr>
            <w:tcW w:w="2530" w:type="dxa"/>
            <w:vAlign w:val="center"/>
          </w:tcPr>
          <w:p w14:paraId="4E92059F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≥160</w:t>
            </w:r>
          </w:p>
        </w:tc>
      </w:tr>
      <w:tr w14:paraId="519A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59C55A2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FEDAEC7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1D9BB6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60338F7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</w:p>
        </w:tc>
        <w:tc>
          <w:tcPr>
            <w:tcW w:w="1921" w:type="dxa"/>
            <w:vAlign w:val="center"/>
          </w:tcPr>
          <w:p w14:paraId="214FC502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轮胎规格</w:t>
            </w:r>
          </w:p>
        </w:tc>
        <w:tc>
          <w:tcPr>
            <w:tcW w:w="2530" w:type="dxa"/>
            <w:vAlign w:val="center"/>
          </w:tcPr>
          <w:p w14:paraId="12B3F895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235/65R16C</w:t>
            </w:r>
          </w:p>
        </w:tc>
      </w:tr>
      <w:tr w14:paraId="05AD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211D277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2E969493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D201F7A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6F983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21</w:t>
            </w:r>
          </w:p>
        </w:tc>
        <w:tc>
          <w:tcPr>
            <w:tcW w:w="1921" w:type="dxa"/>
            <w:vAlign w:val="center"/>
          </w:tcPr>
          <w:p w14:paraId="3D349484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额定载客（人）</w:t>
            </w:r>
          </w:p>
        </w:tc>
        <w:tc>
          <w:tcPr>
            <w:tcW w:w="2530" w:type="dxa"/>
            <w:vAlign w:val="center"/>
          </w:tcPr>
          <w:p w14:paraId="53CC3525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5-9</w:t>
            </w:r>
          </w:p>
        </w:tc>
      </w:tr>
      <w:tr w14:paraId="7A07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136FD68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2E46EC5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FDCEF2E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0BAC6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22</w:t>
            </w:r>
          </w:p>
        </w:tc>
        <w:tc>
          <w:tcPr>
            <w:tcW w:w="1921" w:type="dxa"/>
            <w:vAlign w:val="center"/>
          </w:tcPr>
          <w:p w14:paraId="3D0E00C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侧滑门形式</w:t>
            </w:r>
          </w:p>
        </w:tc>
        <w:tc>
          <w:tcPr>
            <w:tcW w:w="2530" w:type="dxa"/>
            <w:vAlign w:val="center"/>
          </w:tcPr>
          <w:p w14:paraId="601616CA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手动</w:t>
            </w:r>
          </w:p>
        </w:tc>
      </w:tr>
      <w:tr w14:paraId="36BB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09BE62A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D08FCB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8ADEC3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1302CEB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23</w:t>
            </w:r>
          </w:p>
        </w:tc>
        <w:tc>
          <w:tcPr>
            <w:tcW w:w="1921" w:type="dxa"/>
            <w:vAlign w:val="center"/>
          </w:tcPr>
          <w:p w14:paraId="707C5DB6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钥匙类型</w:t>
            </w:r>
          </w:p>
        </w:tc>
        <w:tc>
          <w:tcPr>
            <w:tcW w:w="2530" w:type="dxa"/>
            <w:vAlign w:val="center"/>
          </w:tcPr>
          <w:p w14:paraId="18F32E77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遥控钥匙</w:t>
            </w:r>
          </w:p>
        </w:tc>
      </w:tr>
      <w:tr w14:paraId="3B9F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433E4E2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B61B80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F510AD9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7DF5D75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24</w:t>
            </w:r>
          </w:p>
        </w:tc>
        <w:tc>
          <w:tcPr>
            <w:tcW w:w="1921" w:type="dxa"/>
            <w:vAlign w:val="center"/>
          </w:tcPr>
          <w:p w14:paraId="3CD6DC20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车内中控锁</w:t>
            </w:r>
          </w:p>
        </w:tc>
        <w:tc>
          <w:tcPr>
            <w:tcW w:w="2530" w:type="dxa"/>
            <w:vAlign w:val="center"/>
          </w:tcPr>
          <w:p w14:paraId="60D0D07F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配置</w:t>
            </w:r>
          </w:p>
        </w:tc>
      </w:tr>
      <w:tr w14:paraId="636E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0940027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06445E8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F9D97E7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30E078D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25</w:t>
            </w:r>
          </w:p>
        </w:tc>
        <w:tc>
          <w:tcPr>
            <w:tcW w:w="1921" w:type="dxa"/>
            <w:vAlign w:val="center"/>
          </w:tcPr>
          <w:p w14:paraId="25A0B982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ABS防抱死</w:t>
            </w:r>
          </w:p>
        </w:tc>
        <w:tc>
          <w:tcPr>
            <w:tcW w:w="2530" w:type="dxa"/>
            <w:vAlign w:val="center"/>
          </w:tcPr>
          <w:p w14:paraId="2FD4A76D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配置</w:t>
            </w:r>
          </w:p>
        </w:tc>
      </w:tr>
      <w:tr w14:paraId="1836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39455C2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BF7C88A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0E7B5C7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5329F9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26</w:t>
            </w:r>
          </w:p>
        </w:tc>
        <w:tc>
          <w:tcPr>
            <w:tcW w:w="1921" w:type="dxa"/>
            <w:vAlign w:val="center"/>
          </w:tcPr>
          <w:p w14:paraId="2004821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ESP车身稳定系统</w:t>
            </w:r>
          </w:p>
        </w:tc>
        <w:tc>
          <w:tcPr>
            <w:tcW w:w="2530" w:type="dxa"/>
            <w:vAlign w:val="center"/>
          </w:tcPr>
          <w:p w14:paraId="298BCC61">
            <w:pPr>
              <w:ind w:firstLine="210" w:firstLineChars="1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配置</w:t>
            </w:r>
          </w:p>
        </w:tc>
      </w:tr>
      <w:tr w14:paraId="6E5D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1B9A4621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E1519A7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EEB6055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5088" w:type="dxa"/>
            <w:gridSpan w:val="3"/>
            <w:vAlign w:val="center"/>
          </w:tcPr>
          <w:p w14:paraId="2457245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车辆医疗舱基本配置</w:t>
            </w:r>
          </w:p>
        </w:tc>
      </w:tr>
      <w:tr w14:paraId="3ECC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00665F3E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2B0DD450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44F2491F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2D763E4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A</w:t>
            </w:r>
          </w:p>
        </w:tc>
        <w:tc>
          <w:tcPr>
            <w:tcW w:w="4451" w:type="dxa"/>
            <w:gridSpan w:val="2"/>
            <w:vAlign w:val="center"/>
          </w:tcPr>
          <w:p w14:paraId="1B45F5FB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车辆外观、涂装</w:t>
            </w:r>
          </w:p>
        </w:tc>
      </w:tr>
      <w:tr w14:paraId="620E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0D121CC0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6512B0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A421C2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9FF224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4451" w:type="dxa"/>
            <w:gridSpan w:val="2"/>
            <w:vAlign w:val="center"/>
          </w:tcPr>
          <w:p w14:paraId="781243F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车辆车窗贴2/3磨砂膜。</w:t>
            </w:r>
          </w:p>
        </w:tc>
      </w:tr>
      <w:tr w14:paraId="076C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497CD0D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22EE4714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58B9A9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7458C7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4451" w:type="dxa"/>
            <w:gridSpan w:val="2"/>
            <w:vAlign w:val="center"/>
          </w:tcPr>
          <w:p w14:paraId="061DACC0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车辆前后左右贴红十字标识。</w:t>
            </w:r>
          </w:p>
        </w:tc>
      </w:tr>
      <w:tr w14:paraId="0061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2522B429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09E0045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4FFD897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8D8AF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4451" w:type="dxa"/>
            <w:gridSpan w:val="2"/>
            <w:vAlign w:val="center"/>
          </w:tcPr>
          <w:p w14:paraId="2D1CC09D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车身强效荧光反射带。</w:t>
            </w:r>
          </w:p>
        </w:tc>
      </w:tr>
      <w:tr w14:paraId="00BB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72550429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44D7E8F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43031A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146F81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4451" w:type="dxa"/>
            <w:gridSpan w:val="2"/>
            <w:vAlign w:val="center"/>
          </w:tcPr>
          <w:p w14:paraId="4BA319D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可按用户要求定制外观。</w:t>
            </w:r>
          </w:p>
        </w:tc>
      </w:tr>
      <w:tr w14:paraId="1301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130EE84D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BD753AF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27459298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3CA8B1C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B</w:t>
            </w:r>
          </w:p>
        </w:tc>
        <w:tc>
          <w:tcPr>
            <w:tcW w:w="4451" w:type="dxa"/>
            <w:gridSpan w:val="2"/>
            <w:vAlign w:val="center"/>
          </w:tcPr>
          <w:p w14:paraId="753F4243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车辆空调、暖风系统</w:t>
            </w:r>
          </w:p>
        </w:tc>
      </w:tr>
      <w:tr w14:paraId="4C5E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41244A1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23AA56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DC3F37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13EEC82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4451" w:type="dxa"/>
            <w:gridSpan w:val="2"/>
            <w:vAlign w:val="center"/>
          </w:tcPr>
          <w:p w14:paraId="1E6E4677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前后舱独立空调系统。</w:t>
            </w:r>
          </w:p>
        </w:tc>
      </w:tr>
      <w:tr w14:paraId="5608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71D0AF94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00B8CC6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24AF2AE4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62C01D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4451" w:type="dxa"/>
            <w:gridSpan w:val="2"/>
            <w:vAlign w:val="center"/>
          </w:tcPr>
          <w:p w14:paraId="280FEE56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医疗舱独立暖风系统。</w:t>
            </w:r>
          </w:p>
        </w:tc>
      </w:tr>
      <w:tr w14:paraId="65DE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27E8592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5228A3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27BB8F3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2BBEAFF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4451" w:type="dxa"/>
            <w:gridSpan w:val="2"/>
            <w:vAlign w:val="center"/>
          </w:tcPr>
          <w:p w14:paraId="09F272B3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医疗舱顶部加装换气扇。</w:t>
            </w:r>
          </w:p>
        </w:tc>
      </w:tr>
      <w:tr w14:paraId="2A2D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495D8726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46EE6FF8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CC41950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28539DD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C</w:t>
            </w:r>
          </w:p>
        </w:tc>
        <w:tc>
          <w:tcPr>
            <w:tcW w:w="4451" w:type="dxa"/>
            <w:gridSpan w:val="2"/>
            <w:vAlign w:val="center"/>
          </w:tcPr>
          <w:p w14:paraId="079CBA72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警灯警报系统</w:t>
            </w:r>
          </w:p>
        </w:tc>
      </w:tr>
      <w:tr w14:paraId="27B1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  <w:jc w:val="center"/>
        </w:trPr>
        <w:tc>
          <w:tcPr>
            <w:tcW w:w="1492" w:type="dxa"/>
            <w:vMerge w:val="continue"/>
            <w:vAlign w:val="center"/>
          </w:tcPr>
          <w:p w14:paraId="6021C53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042B968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3112FF3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34E1A28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▲1</w:t>
            </w:r>
          </w:p>
        </w:tc>
        <w:tc>
          <w:tcPr>
            <w:tcW w:w="4451" w:type="dxa"/>
            <w:gridSpan w:val="2"/>
            <w:vAlign w:val="center"/>
          </w:tcPr>
          <w:p w14:paraId="22732D3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1、驾驶室安装警报、警灯控制按扭，便于操作使用，警灯要求满足GB13954-2009《警车、消防车、救护车、工程救险车标志灯具》标准。</w:t>
            </w:r>
          </w:p>
        </w:tc>
      </w:tr>
      <w:tr w14:paraId="6DEF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1492" w:type="dxa"/>
            <w:vMerge w:val="continue"/>
            <w:vAlign w:val="center"/>
          </w:tcPr>
          <w:p w14:paraId="4B4BCCF9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A25BA8E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E53DA0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547444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4451" w:type="dxa"/>
            <w:gridSpan w:val="2"/>
            <w:vAlign w:val="center"/>
          </w:tcPr>
          <w:p w14:paraId="09969BB5">
            <w:pPr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车顶前部安装长条警灯，灯罩采用聚碳酸酯材料，具有良好的抗冲击性、抗潜变性，耐高温、</w:t>
            </w:r>
          </w:p>
          <w:p w14:paraId="03FF5BF3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韧性好、透明度适宜。</w:t>
            </w:r>
          </w:p>
        </w:tc>
      </w:tr>
      <w:tr w14:paraId="5724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1DB35803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7254AC7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2882AA8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2846D46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4451" w:type="dxa"/>
            <w:gridSpan w:val="2"/>
            <w:vAlign w:val="center"/>
          </w:tcPr>
          <w:p w14:paraId="13147622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车身四周安装方形爆闪警示灯。</w:t>
            </w:r>
          </w:p>
        </w:tc>
      </w:tr>
      <w:tr w14:paraId="64BD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641FB993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06109FF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0921096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1462FE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4451" w:type="dxa"/>
            <w:gridSpan w:val="2"/>
            <w:vAlign w:val="center"/>
          </w:tcPr>
          <w:p w14:paraId="20669C2D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100w车外扩音器。</w:t>
            </w:r>
          </w:p>
        </w:tc>
      </w:tr>
      <w:tr w14:paraId="3EBE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64E090A6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607E67D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6C08033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3BAEAF6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D</w:t>
            </w:r>
          </w:p>
        </w:tc>
        <w:tc>
          <w:tcPr>
            <w:tcW w:w="4451" w:type="dxa"/>
            <w:gridSpan w:val="2"/>
            <w:vAlign w:val="center"/>
          </w:tcPr>
          <w:p w14:paraId="4F7B0D39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医疗舱内饰装配系统</w:t>
            </w:r>
          </w:p>
        </w:tc>
      </w:tr>
      <w:tr w14:paraId="4C2C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92" w:type="dxa"/>
            <w:vMerge w:val="continue"/>
            <w:vAlign w:val="center"/>
          </w:tcPr>
          <w:p w14:paraId="463485C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46ED9B83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BF30C8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1DEF16A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▲1</w:t>
            </w:r>
          </w:p>
        </w:tc>
        <w:tc>
          <w:tcPr>
            <w:tcW w:w="4451" w:type="dxa"/>
            <w:gridSpan w:val="2"/>
            <w:vAlign w:val="center"/>
          </w:tcPr>
          <w:p w14:paraId="7232A280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医疗舱两边的墙壁及中隔断墙内饰采用ABS吸塑一体化内饰，具有自重轻、强度高、韧性好、耐酸碱、光滑、防水、阻燃、抗菌、易清洗等许多优良特点。</w:t>
            </w:r>
          </w:p>
        </w:tc>
      </w:tr>
      <w:tr w14:paraId="16AD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7EEC2603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4869D3C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DAFBE2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7E8B46A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4451" w:type="dxa"/>
            <w:gridSpan w:val="2"/>
            <w:vAlign w:val="center"/>
          </w:tcPr>
          <w:p w14:paraId="1318AA40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ABS吸塑一体化</w:t>
            </w:r>
            <w:r>
              <w:rPr>
                <w:rFonts w:hint="eastAsia" w:asciiTheme="minorEastAsia" w:hAnsiTheme="minorEastAsia" w:cstheme="minorEastAsia"/>
                <w:szCs w:val="21"/>
              </w:rPr>
              <w:t>内饰顶。</w:t>
            </w:r>
          </w:p>
        </w:tc>
      </w:tr>
      <w:tr w14:paraId="0158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02F54FE0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440AC7F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0C25106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2AB7560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4451" w:type="dxa"/>
            <w:gridSpan w:val="2"/>
            <w:vAlign w:val="center"/>
          </w:tcPr>
          <w:p w14:paraId="21D74EA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医疗舱顶部安装安全扶手，及可滑动输液挂钩。</w:t>
            </w:r>
          </w:p>
        </w:tc>
      </w:tr>
      <w:tr w14:paraId="0C2E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48A8445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7BDFE4A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1F3CBB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36B0F32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4451" w:type="dxa"/>
            <w:gridSpan w:val="2"/>
            <w:vAlign w:val="center"/>
          </w:tcPr>
          <w:p w14:paraId="0281ACCF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中隔断墙上设有推拉观察窗，便于观察。</w:t>
            </w:r>
          </w:p>
        </w:tc>
      </w:tr>
      <w:tr w14:paraId="635E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492" w:type="dxa"/>
            <w:vMerge w:val="continue"/>
            <w:vAlign w:val="center"/>
          </w:tcPr>
          <w:p w14:paraId="386D07C7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58577B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2448D2F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36C43C9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▲5</w:t>
            </w:r>
          </w:p>
        </w:tc>
        <w:tc>
          <w:tcPr>
            <w:tcW w:w="4451" w:type="dxa"/>
            <w:gridSpan w:val="2"/>
            <w:vAlign w:val="center"/>
          </w:tcPr>
          <w:p w14:paraId="2AB137DE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医疗舱左侧安装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ABS吸塑一体化</w:t>
            </w:r>
            <w:r>
              <w:rPr>
                <w:rFonts w:hint="eastAsia" w:asciiTheme="minorEastAsia" w:hAnsiTheme="minorEastAsia" w:cstheme="minorEastAsia"/>
                <w:szCs w:val="21"/>
              </w:rPr>
              <w:t>多功能整体医疗设备柜，齐窗柜体台面为医生操作平台，可固定医疗急救设备，顶部为储物吊柜。</w:t>
            </w:r>
          </w:p>
        </w:tc>
      </w:tr>
      <w:tr w14:paraId="6D0E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465FCA8A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1D2841E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277DEAD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658282F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4451" w:type="dxa"/>
            <w:gridSpan w:val="2"/>
            <w:vAlign w:val="center"/>
          </w:tcPr>
          <w:p w14:paraId="27229343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医疗舱隔断后1个折叠座椅，右侧2个独立座椅。</w:t>
            </w:r>
          </w:p>
        </w:tc>
      </w:tr>
      <w:tr w14:paraId="6F2D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5BFE827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6BECAB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6CB5E43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C83577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4451" w:type="dxa"/>
            <w:gridSpan w:val="2"/>
            <w:vAlign w:val="center"/>
          </w:tcPr>
          <w:p w14:paraId="5B7EF8FD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医疗舱可冲洗医用耐磨地板。</w:t>
            </w:r>
          </w:p>
        </w:tc>
      </w:tr>
      <w:tr w14:paraId="4D25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1492" w:type="dxa"/>
            <w:vMerge w:val="continue"/>
            <w:vAlign w:val="center"/>
          </w:tcPr>
          <w:p w14:paraId="6A06706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D162489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E907E2F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16389CD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4451" w:type="dxa"/>
            <w:gridSpan w:val="2"/>
            <w:vAlign w:val="center"/>
          </w:tcPr>
          <w:p w14:paraId="09DCF94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医疗舱侧门、后门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上车头部设有防撞保护措施，防止撞伤头部。</w:t>
            </w:r>
          </w:p>
        </w:tc>
      </w:tr>
      <w:tr w14:paraId="4D81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1492" w:type="dxa"/>
            <w:vMerge w:val="continue"/>
            <w:vAlign w:val="center"/>
          </w:tcPr>
          <w:p w14:paraId="4B125F6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B15BCC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79887DF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54B7143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9</w:t>
            </w:r>
          </w:p>
        </w:tc>
        <w:tc>
          <w:tcPr>
            <w:tcW w:w="4451" w:type="dxa"/>
            <w:gridSpan w:val="2"/>
            <w:vAlign w:val="center"/>
          </w:tcPr>
          <w:p w14:paraId="65E590DF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自动上车担架及担架导轨。</w:t>
            </w:r>
          </w:p>
        </w:tc>
      </w:tr>
      <w:tr w14:paraId="3DE3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1492" w:type="dxa"/>
            <w:vMerge w:val="continue"/>
            <w:vAlign w:val="center"/>
          </w:tcPr>
          <w:p w14:paraId="6EBE8DA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17FC43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67BC5A3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14022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▲10</w:t>
            </w:r>
          </w:p>
        </w:tc>
        <w:tc>
          <w:tcPr>
            <w:tcW w:w="4451" w:type="dxa"/>
            <w:gridSpan w:val="2"/>
            <w:vAlign w:val="center"/>
          </w:tcPr>
          <w:p w14:paraId="2565786E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柔性泡沫橡塑绝缘材料：医疗舱车体侧围、顶部采用柔性泡沫橡塑绝缘材料，降低医疗舱噪音，材料符合GB/T17794-2008标准。</w:t>
            </w:r>
          </w:p>
        </w:tc>
      </w:tr>
      <w:tr w14:paraId="7021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68A6B1EC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8C026B8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4EE40032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140344E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E</w:t>
            </w:r>
          </w:p>
        </w:tc>
        <w:tc>
          <w:tcPr>
            <w:tcW w:w="4451" w:type="dxa"/>
            <w:gridSpan w:val="2"/>
            <w:vAlign w:val="center"/>
          </w:tcPr>
          <w:p w14:paraId="41DAA1D3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照明消毒系统</w:t>
            </w:r>
          </w:p>
        </w:tc>
      </w:tr>
      <w:tr w14:paraId="01E9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3725331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D688C4F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25F87820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6BFD176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4451" w:type="dxa"/>
            <w:gridSpan w:val="2"/>
            <w:vAlign w:val="center"/>
          </w:tcPr>
          <w:p w14:paraId="397811C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医疗舱顶部照明灯4组。</w:t>
            </w:r>
          </w:p>
        </w:tc>
      </w:tr>
      <w:tr w14:paraId="77E5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62CF894A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21A3E7A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0E2FA8E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5ADCA67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4451" w:type="dxa"/>
            <w:gridSpan w:val="2"/>
            <w:vAlign w:val="center"/>
          </w:tcPr>
          <w:p w14:paraId="317D6647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医疗舱内专用紫外线消毒灯。</w:t>
            </w:r>
          </w:p>
        </w:tc>
      </w:tr>
      <w:tr w14:paraId="0A91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66FB6E34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E8FD47A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093C972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7D8893C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4451" w:type="dxa"/>
            <w:gridSpan w:val="2"/>
            <w:vAlign w:val="center"/>
          </w:tcPr>
          <w:p w14:paraId="35E69626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医疗舱尾部设有场地照明灯，方便夜间操作。</w:t>
            </w:r>
          </w:p>
        </w:tc>
      </w:tr>
      <w:tr w14:paraId="7D9B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67E50937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4B8B1BF6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F407EA4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334878E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F</w:t>
            </w:r>
          </w:p>
        </w:tc>
        <w:tc>
          <w:tcPr>
            <w:tcW w:w="4451" w:type="dxa"/>
            <w:gridSpan w:val="2"/>
            <w:vAlign w:val="center"/>
          </w:tcPr>
          <w:p w14:paraId="34A72460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氧气系统</w:t>
            </w:r>
          </w:p>
        </w:tc>
      </w:tr>
      <w:tr w14:paraId="528A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7B31F5B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BD04C2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CF0FE6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5403935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4451" w:type="dxa"/>
            <w:gridSpan w:val="2"/>
            <w:vAlign w:val="center"/>
          </w:tcPr>
          <w:p w14:paraId="4A3E031E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医疗舱内左侧尾部2个10L氧气柜。</w:t>
            </w:r>
          </w:p>
        </w:tc>
      </w:tr>
      <w:tr w14:paraId="73C6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0EF6EED9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370951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4BBDE69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38D8B1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4451" w:type="dxa"/>
            <w:gridSpan w:val="2"/>
            <w:vAlign w:val="center"/>
          </w:tcPr>
          <w:p w14:paraId="09F4204D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配备2个10L氧气瓶。</w:t>
            </w:r>
          </w:p>
        </w:tc>
      </w:tr>
      <w:tr w14:paraId="105B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58BA132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D8CFA9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E026C6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7FE4A56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4451" w:type="dxa"/>
            <w:gridSpan w:val="2"/>
            <w:vAlign w:val="center"/>
          </w:tcPr>
          <w:p w14:paraId="0650D97B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氧气终端2个、湿化瓶1个、呼吸机接口1个。</w:t>
            </w:r>
          </w:p>
        </w:tc>
      </w:tr>
      <w:tr w14:paraId="2A5B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3DF6F9DB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2A59D60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025A7812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6047B51F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G</w:t>
            </w:r>
          </w:p>
        </w:tc>
        <w:tc>
          <w:tcPr>
            <w:tcW w:w="4451" w:type="dxa"/>
            <w:gridSpan w:val="2"/>
            <w:vAlign w:val="center"/>
          </w:tcPr>
          <w:p w14:paraId="0ACAEB8C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智能管理供电系统</w:t>
            </w:r>
          </w:p>
        </w:tc>
      </w:tr>
      <w:tr w14:paraId="5EDD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exact"/>
          <w:jc w:val="center"/>
        </w:trPr>
        <w:tc>
          <w:tcPr>
            <w:tcW w:w="1492" w:type="dxa"/>
            <w:vMerge w:val="continue"/>
            <w:vAlign w:val="center"/>
          </w:tcPr>
          <w:p w14:paraId="3C16F58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AE1935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C334EC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B2EB9E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▲1</w:t>
            </w:r>
          </w:p>
        </w:tc>
        <w:tc>
          <w:tcPr>
            <w:tcW w:w="4451" w:type="dxa"/>
            <w:gridSpan w:val="2"/>
            <w:vAlign w:val="center"/>
          </w:tcPr>
          <w:p w14:paraId="1152DC1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1、车辆综合布线，医疗舱集中控制，集成电路控制；配套线束采用30/60V单芯铜导体的汽车电缆，电缆采用试验方法ISO 19642-2:2019要求进行测试，要求线缆绝缘结构尺寸、电气恨性能试验（含：导体电阻、交流耐压试验、绝缘体积电阻率）、机械性能（含剥离力、刮磨试验）、环境试验（含240h短期老化、高温压力试验、热收缩、低温卷烧、低温冲击、温度和湿度交变、耐热水、耐液体化学品、耐臭氧、抗延燃）等项目满足GB/T 25085-2010标准标准（投标时要求提供检测报告复印件）；所有连接均使用专用汽车连接件，无家用塑包线。医疗舱前部设有集中控制面板，方便医务人员操作。</w:t>
            </w:r>
          </w:p>
        </w:tc>
      </w:tr>
      <w:tr w14:paraId="647E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492" w:type="dxa"/>
            <w:vMerge w:val="continue"/>
            <w:vAlign w:val="center"/>
          </w:tcPr>
          <w:p w14:paraId="73345A73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155F46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2FE667EA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6F8C34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4451" w:type="dxa"/>
            <w:gridSpan w:val="2"/>
            <w:vAlign w:val="center"/>
          </w:tcPr>
          <w:p w14:paraId="338DF7FA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车载大功率智能逆变系统，1500W逆变器。采用工频方案加上电气隔离技术，带载能力强，抗冲击性强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。</w:t>
            </w:r>
          </w:p>
          <w:p w14:paraId="3783B5F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40D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492" w:type="dxa"/>
            <w:vMerge w:val="continue"/>
            <w:vAlign w:val="center"/>
          </w:tcPr>
          <w:p w14:paraId="79A44BE0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EDE581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265713E7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A3363C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4451" w:type="dxa"/>
            <w:gridSpan w:val="2"/>
            <w:vAlign w:val="center"/>
          </w:tcPr>
          <w:p w14:paraId="3AE5888E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医疗舱内装有220V电源插座4组，方便各种医疗设备使用。</w:t>
            </w:r>
          </w:p>
        </w:tc>
      </w:tr>
      <w:tr w14:paraId="6C87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492" w:type="dxa"/>
            <w:vMerge w:val="continue"/>
            <w:vAlign w:val="center"/>
          </w:tcPr>
          <w:p w14:paraId="2871E5E3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24343D93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4DF5BCBE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2E4F441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4451" w:type="dxa"/>
            <w:gridSpan w:val="2"/>
            <w:vAlign w:val="center"/>
          </w:tcPr>
          <w:p w14:paraId="6D95DA1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医疗舱加装60A电瓶。</w:t>
            </w:r>
          </w:p>
        </w:tc>
      </w:tr>
      <w:tr w14:paraId="60CA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492" w:type="dxa"/>
            <w:vMerge w:val="continue"/>
            <w:vAlign w:val="center"/>
          </w:tcPr>
          <w:p w14:paraId="72A12A5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0A84FEF4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0BCD1EA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5995B3F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4451" w:type="dxa"/>
            <w:gridSpan w:val="2"/>
            <w:vAlign w:val="center"/>
          </w:tcPr>
          <w:p w14:paraId="4B951660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医疗舱配备有外接电源，自带220V充电系统。</w:t>
            </w:r>
          </w:p>
        </w:tc>
      </w:tr>
      <w:tr w14:paraId="11B4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2477F256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4D78A57D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1E21018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170AA187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H</w:t>
            </w:r>
          </w:p>
        </w:tc>
        <w:tc>
          <w:tcPr>
            <w:tcW w:w="4451" w:type="dxa"/>
            <w:gridSpan w:val="2"/>
            <w:vAlign w:val="center"/>
          </w:tcPr>
          <w:p w14:paraId="60F6BC9A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随车专用设备</w:t>
            </w:r>
          </w:p>
        </w:tc>
      </w:tr>
      <w:tr w14:paraId="52AB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6" w:hRule="exact"/>
          <w:jc w:val="center"/>
        </w:trPr>
        <w:tc>
          <w:tcPr>
            <w:tcW w:w="1492" w:type="dxa"/>
            <w:vMerge w:val="continue"/>
            <w:vAlign w:val="center"/>
          </w:tcPr>
          <w:p w14:paraId="1B69F2A2">
            <w:pPr>
              <w:jc w:val="center"/>
              <w:rPr>
                <w:rFonts w:hint="eastAsia"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8BD1E27">
            <w:pPr>
              <w:jc w:val="center"/>
              <w:rPr>
                <w:rFonts w:hint="eastAsia"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E407939">
            <w:pPr>
              <w:jc w:val="center"/>
              <w:rPr>
                <w:rFonts w:hint="eastAsia"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1B82558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▲</w:t>
            </w: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4451" w:type="dxa"/>
            <w:gridSpan w:val="2"/>
            <w:vAlign w:val="center"/>
          </w:tcPr>
          <w:p w14:paraId="4D6ED3A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车载专用便捷式急救箱</w:t>
            </w:r>
          </w:p>
          <w:p w14:paraId="040C789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1、符合或优于GA/T 746-2020提款箱标准。</w:t>
            </w:r>
          </w:p>
          <w:p w14:paraId="03C4952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2、急救箱由箱体、整体较链、锁闭装置、储物隔层组成，内部配有急救物品。</w:t>
            </w:r>
          </w:p>
          <w:p w14:paraId="38A7E60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Hans"/>
              </w:rPr>
              <w:t>外形尺寸：宽313mm x高188mm x深185mm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 w14:paraId="2C256C2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4、急救箱表面应平整、光滑、无划痕、无尖锐棱角等缺陷。</w:t>
            </w:r>
          </w:p>
          <w:p w14:paraId="09786D3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5、表面抗压性能：急救箱表面分别均布静载荷350N，放置30min，卸载后，箱子能正常开启。</w:t>
            </w:r>
          </w:p>
          <w:p w14:paraId="018E9CE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6、提手牢固度：急救箱箱体和提手之间施加200N静拉力，保持时间5min，提手与箱体不脱离，能正常使用。</w:t>
            </w:r>
          </w:p>
          <w:p w14:paraId="0B4D052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7、跌落性能:急救箱内部放置2kg重物，以底部向下的姿态距地1m处以自由落体的形式向水泥地面跌落3次，跌落后箱子不解体，可正常开启箱盖。</w:t>
            </w:r>
          </w:p>
          <w:p w14:paraId="20146F4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8、振动性能：急救箱以立正姿态置于加速2M/s2、频率5Hz-55Hz的振动机上正弦振动1h,不解体、箱子可正常开启。</w:t>
            </w:r>
          </w:p>
          <w:p w14:paraId="5C2C7B2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9、冲击性能：急救箱置于冲击试验台上，加速度幅值30g、半正弦冲击脉冲波形、18ms脉冲持续时间，X、Y、Z各3次后不解体、箱子应可正常开启。</w:t>
            </w:r>
          </w:p>
          <w:p w14:paraId="333B6EDF">
            <w:pPr>
              <w:pStyle w:val="11"/>
              <w:ind w:left="0" w:leftChars="0" w:firstLine="0" w:firstLineChars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10、阻燃性：符合《GA/T 746-2020 提款箱》中5.4的标准。</w:t>
            </w:r>
          </w:p>
          <w:p w14:paraId="49EDA8F1">
            <w:pPr>
              <w:pStyle w:val="11"/>
              <w:ind w:left="0" w:leftChars="0" w:firstLine="0" w:firstLineChars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11、高温性能：急救箱置于85℃±2℃的环境试验箱中放置2h后，箱子可正常开启。</w:t>
            </w:r>
          </w:p>
          <w:p w14:paraId="52599962">
            <w:pPr>
              <w:pStyle w:val="11"/>
              <w:ind w:left="0" w:leftChars="0" w:firstLine="0" w:firstLineChars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12、低温性能：急救箱置于-30℃±2℃的环境试验箱中放置2h后，箱子可正常开启。</w:t>
            </w:r>
          </w:p>
          <w:p w14:paraId="46D1E268">
            <w:pPr>
              <w:pStyle w:val="11"/>
              <w:ind w:left="0" w:leftChars="0" w:firstLine="0" w:firstLineChars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13、箱内配置不少于27种用于急救药品等必须品及使用说明书。</w:t>
            </w:r>
          </w:p>
          <w:p w14:paraId="2048B63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14、为保障产品质量需提供2021年以后</w:t>
            </w:r>
            <w:r>
              <w:rPr>
                <w:rFonts w:hint="eastAsia" w:asciiTheme="minorEastAsia" w:hAnsiTheme="minorEastAsia" w:cstheme="minorEastAsia"/>
                <w:szCs w:val="21"/>
                <w:lang w:eastAsia="zh-Hans"/>
              </w:rPr>
              <w:t>国家安全防范报警系统产品质量检验检测中心、公安部安全与警用电子产品质量检测中心检验报告，以上参数需逐条在检测报告中体现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。</w:t>
            </w:r>
          </w:p>
          <w:p w14:paraId="11F5EB4E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10A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4" w:hRule="exact"/>
          <w:jc w:val="center"/>
        </w:trPr>
        <w:tc>
          <w:tcPr>
            <w:tcW w:w="1492" w:type="dxa"/>
            <w:vMerge w:val="continue"/>
            <w:vAlign w:val="center"/>
          </w:tcPr>
          <w:p w14:paraId="7E5601DC">
            <w:pPr>
              <w:jc w:val="center"/>
              <w:rPr>
                <w:rFonts w:hint="eastAsia"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7DA0CCD">
            <w:pPr>
              <w:jc w:val="center"/>
              <w:rPr>
                <w:rFonts w:hint="eastAsia"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56D8297D">
            <w:pPr>
              <w:jc w:val="center"/>
              <w:rPr>
                <w:rFonts w:hint="eastAsia"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20C3A6E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▲</w:t>
            </w: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4451" w:type="dxa"/>
            <w:gridSpan w:val="2"/>
            <w:vAlign w:val="center"/>
          </w:tcPr>
          <w:p w14:paraId="26E617E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手持式无绳蓝光电动静电消毒杀毒喷雾器</w:t>
            </w:r>
          </w:p>
          <w:p w14:paraId="4E284DC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1、隔膜泵工作压力；≧10 Bar；</w:t>
            </w:r>
          </w:p>
          <w:p w14:paraId="5CAEDC6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2、喷液流量；≧每分钟 0.1 升</w:t>
            </w:r>
          </w:p>
          <w:p w14:paraId="3809EEA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3、电池容量；≦12V 2.6 AH</w:t>
            </w:r>
          </w:p>
          <w:p w14:paraId="20E9093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4、静电电压；≧20 KV </w:t>
            </w:r>
          </w:p>
          <w:p w14:paraId="2D4FC1A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5、充电器输入/ 输出/电流≧AC110-240V;DC12.6V;DC1000 mA.</w:t>
            </w:r>
          </w:p>
          <w:p w14:paraId="620C97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6、360 度环抱吸附；</w:t>
            </w:r>
          </w:p>
          <w:p w14:paraId="5B18DEC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7、充电时间；≦2 小时</w:t>
            </w:r>
          </w:p>
          <w:p w14:paraId="1CCC3CF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8、机具净重（含蓄电池）；≦0.8 kg</w:t>
            </w:r>
          </w:p>
          <w:p w14:paraId="5009D90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9、喷喷射距离；≧1.5 米；</w:t>
            </w:r>
          </w:p>
          <w:p w14:paraId="20C4C6F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10、药箱容量；≧800 mL；</w:t>
            </w:r>
          </w:p>
          <w:p w14:paraId="2F0D566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11、连续工作时间；≧150 分钟；</w:t>
            </w:r>
          </w:p>
          <w:p w14:paraId="07A00C6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12、工作电压；DC12V；</w:t>
            </w:r>
          </w:p>
          <w:p w14:paraId="05AF734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13、雾滴中值直径；≧50 um；</w:t>
            </w:r>
          </w:p>
          <w:p w14:paraId="6B432064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（提供可充电锂离子电池第三方检测报告和欧盟CE认证证明材料扫描件）</w:t>
            </w:r>
          </w:p>
        </w:tc>
      </w:tr>
      <w:tr w14:paraId="4DBE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5F018C0F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DA1BD84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A570C0F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7C5E68E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I</w:t>
            </w:r>
          </w:p>
        </w:tc>
        <w:tc>
          <w:tcPr>
            <w:tcW w:w="4451" w:type="dxa"/>
            <w:gridSpan w:val="2"/>
            <w:vAlign w:val="center"/>
          </w:tcPr>
          <w:p w14:paraId="02AF94EF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其他辅助设备</w:t>
            </w:r>
          </w:p>
        </w:tc>
      </w:tr>
      <w:tr w14:paraId="5C63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6DD820F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0243986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088AC71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6D08E3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4451" w:type="dxa"/>
            <w:gridSpan w:val="2"/>
            <w:vAlign w:val="center"/>
          </w:tcPr>
          <w:p w14:paraId="38495ED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医疗舱配备钢质污物桶。</w:t>
            </w:r>
          </w:p>
        </w:tc>
      </w:tr>
      <w:tr w14:paraId="25F7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34555BB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65C05ED4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C8D7E1A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42B91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4451" w:type="dxa"/>
            <w:gridSpan w:val="2"/>
            <w:vAlign w:val="center"/>
          </w:tcPr>
          <w:p w14:paraId="6FC64D3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医疗舱专用灭火器。</w:t>
            </w:r>
          </w:p>
        </w:tc>
      </w:tr>
      <w:tr w14:paraId="2970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2" w:type="dxa"/>
            <w:vMerge w:val="continue"/>
            <w:vAlign w:val="center"/>
          </w:tcPr>
          <w:p w14:paraId="27C3BA04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14042C7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4A97E0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2FB1E9A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4451" w:type="dxa"/>
            <w:gridSpan w:val="2"/>
            <w:vAlign w:val="center"/>
          </w:tcPr>
          <w:p w14:paraId="6B702B9B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医疗舱配备破窗安全锤，前后对讲机。</w:t>
            </w:r>
          </w:p>
        </w:tc>
      </w:tr>
    </w:tbl>
    <w:p w14:paraId="4CBD6716">
      <w:pPr>
        <w:widowControl/>
        <w:shd w:val="clear" w:color="auto" w:fill="FFFFFF"/>
        <w:spacing w:line="420" w:lineRule="atLeast"/>
        <w:jc w:val="left"/>
        <w:textAlignment w:val="baseline"/>
        <w:rPr>
          <w:rFonts w:ascii="微软雅黑" w:hAnsi="微软雅黑" w:eastAsia="微软雅黑" w:cs="微软雅黑"/>
          <w:color w:val="666666"/>
          <w:kern w:val="0"/>
          <w:sz w:val="24"/>
          <w:shd w:val="clear" w:color="auto" w:fill="FFFFFF"/>
          <w:lang w:bidi="ar"/>
        </w:rPr>
      </w:pPr>
    </w:p>
    <w:p w14:paraId="3DBA6D62">
      <w:pPr>
        <w:pStyle w:val="2"/>
        <w:rPr>
          <w:lang w:val="en-US"/>
        </w:rPr>
      </w:pPr>
    </w:p>
    <w:p w14:paraId="7F3D765D"/>
    <w:p w14:paraId="6D03C010">
      <w:pPr>
        <w:pStyle w:val="2"/>
        <w:rPr>
          <w:lang w:val="en-US"/>
        </w:rPr>
      </w:pPr>
    </w:p>
    <w:p w14:paraId="2B57522C"/>
    <w:p w14:paraId="74501341">
      <w:pPr>
        <w:pStyle w:val="2"/>
        <w:rPr>
          <w:lang w:val="en-US"/>
        </w:rPr>
      </w:pPr>
    </w:p>
    <w:p w14:paraId="1D82A3F6"/>
    <w:p w14:paraId="65F62B2C">
      <w:pPr>
        <w:pStyle w:val="2"/>
        <w:rPr>
          <w:lang w:val="en-US"/>
        </w:rPr>
      </w:pPr>
    </w:p>
    <w:p w14:paraId="0B69B4DD">
      <w:pPr>
        <w:pStyle w:val="2"/>
        <w:rPr>
          <w:rFonts w:hint="eastAsia"/>
          <w:lang w:val="en-US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D6A5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38EFB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38EFB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647F9">
    <w:pPr>
      <w:pStyle w:val="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D3331"/>
    <w:multiLevelType w:val="multilevel"/>
    <w:tmpl w:val="3D1D3331"/>
    <w:lvl w:ilvl="0" w:tentative="0">
      <w:start w:val="1"/>
      <w:numFmt w:val="chineseCountingThousand"/>
      <w:pStyle w:val="3"/>
      <w:lvlText w:val="%1、"/>
      <w:lvlJc w:val="left"/>
      <w:pPr>
        <w:ind w:left="1130" w:hanging="420"/>
      </w:pPr>
    </w:lvl>
    <w:lvl w:ilvl="1" w:tentative="0">
      <w:start w:val="1"/>
      <w:numFmt w:val="lowerLetter"/>
      <w:lvlText w:val="%2)"/>
      <w:lvlJc w:val="left"/>
      <w:pPr>
        <w:ind w:left="-130" w:hanging="420"/>
      </w:pPr>
    </w:lvl>
    <w:lvl w:ilvl="2" w:tentative="0">
      <w:start w:val="1"/>
      <w:numFmt w:val="lowerRoman"/>
      <w:lvlText w:val="%3."/>
      <w:lvlJc w:val="right"/>
      <w:pPr>
        <w:ind w:left="290" w:hanging="420"/>
      </w:pPr>
    </w:lvl>
    <w:lvl w:ilvl="3" w:tentative="0">
      <w:start w:val="1"/>
      <w:numFmt w:val="decimal"/>
      <w:lvlText w:val="%4."/>
      <w:lvlJc w:val="left"/>
      <w:pPr>
        <w:ind w:left="710" w:hanging="420"/>
      </w:pPr>
    </w:lvl>
    <w:lvl w:ilvl="4" w:tentative="0">
      <w:start w:val="1"/>
      <w:numFmt w:val="lowerLetter"/>
      <w:lvlText w:val="%5)"/>
      <w:lvlJc w:val="left"/>
      <w:pPr>
        <w:ind w:left="1130" w:hanging="420"/>
      </w:pPr>
    </w:lvl>
    <w:lvl w:ilvl="5" w:tentative="0">
      <w:start w:val="1"/>
      <w:numFmt w:val="lowerRoman"/>
      <w:lvlText w:val="%6."/>
      <w:lvlJc w:val="right"/>
      <w:pPr>
        <w:ind w:left="1550" w:hanging="420"/>
      </w:pPr>
    </w:lvl>
    <w:lvl w:ilvl="6" w:tentative="0">
      <w:start w:val="1"/>
      <w:numFmt w:val="decimal"/>
      <w:lvlText w:val="%7."/>
      <w:lvlJc w:val="left"/>
      <w:pPr>
        <w:ind w:left="1970" w:hanging="420"/>
      </w:pPr>
    </w:lvl>
    <w:lvl w:ilvl="7" w:tentative="0">
      <w:start w:val="1"/>
      <w:numFmt w:val="lowerLetter"/>
      <w:lvlText w:val="%8)"/>
      <w:lvlJc w:val="left"/>
      <w:pPr>
        <w:ind w:left="2390" w:hanging="420"/>
      </w:pPr>
    </w:lvl>
    <w:lvl w:ilvl="8" w:tentative="0">
      <w:start w:val="1"/>
      <w:numFmt w:val="lowerRoman"/>
      <w:lvlText w:val="%9."/>
      <w:lvlJc w:val="right"/>
      <w:pPr>
        <w:ind w:left="28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63266A"/>
    <w:rsid w:val="000A7831"/>
    <w:rsid w:val="002D6368"/>
    <w:rsid w:val="004E34C5"/>
    <w:rsid w:val="0058434B"/>
    <w:rsid w:val="08BC0A60"/>
    <w:rsid w:val="0D00272D"/>
    <w:rsid w:val="10F16DCD"/>
    <w:rsid w:val="12486EC1"/>
    <w:rsid w:val="219D08AB"/>
    <w:rsid w:val="283C0E1E"/>
    <w:rsid w:val="2BF24870"/>
    <w:rsid w:val="31860F2B"/>
    <w:rsid w:val="34677222"/>
    <w:rsid w:val="37695060"/>
    <w:rsid w:val="37DF1F1A"/>
    <w:rsid w:val="3AFF9731"/>
    <w:rsid w:val="3E1B5D49"/>
    <w:rsid w:val="43A11312"/>
    <w:rsid w:val="442A2D58"/>
    <w:rsid w:val="469A16D3"/>
    <w:rsid w:val="51E37573"/>
    <w:rsid w:val="5966544B"/>
    <w:rsid w:val="5E63266A"/>
    <w:rsid w:val="5EF332DD"/>
    <w:rsid w:val="66252916"/>
    <w:rsid w:val="6F751441"/>
    <w:rsid w:val="72E256EB"/>
    <w:rsid w:val="758B3E18"/>
    <w:rsid w:val="75DE663D"/>
    <w:rsid w:val="7C6B49A3"/>
    <w:rsid w:val="7FD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numPr>
        <w:ilvl w:val="0"/>
        <w:numId w:val="1"/>
      </w:numPr>
      <w:spacing w:line="100" w:lineRule="atLeast"/>
      <w:ind w:left="709" w:firstLine="0"/>
      <w:contextualSpacing/>
      <w:outlineLvl w:val="0"/>
    </w:pPr>
    <w:rPr>
      <w:rFonts w:ascii="宋体" w:hAnsi="宋体" w:eastAsia="宋体" w:cs="Times New Roman"/>
      <w:b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lang w:val="zh-CN"/>
    </w:rPr>
  </w:style>
  <w:style w:type="paragraph" w:styleId="5">
    <w:name w:val="Body Text Indent"/>
    <w:basedOn w:val="1"/>
    <w:qFormat/>
    <w:uiPriority w:val="0"/>
    <w:pPr>
      <w:ind w:firstLine="352" w:firstLineChars="352"/>
    </w:pPr>
    <w:rPr>
      <w:rFonts w:ascii="仿宋_GB2312" w:eastAsia="仿宋_GB2312" w:cs="Times New Roman"/>
      <w:kern w:val="0"/>
      <w:sz w:val="32"/>
      <w:szCs w:val="20"/>
      <w:lang w:val="zh-CN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Body Text First Indent 2"/>
    <w:basedOn w:val="5"/>
    <w:qFormat/>
    <w:uiPriority w:val="0"/>
    <w:pPr>
      <w:spacing w:after="120"/>
      <w:ind w:left="200" w:leftChars="200" w:firstLine="200" w:firstLineChars="200"/>
    </w:pPr>
    <w:rPr>
      <w:rFonts w:ascii="Times New Roman" w:hAnsi="Times New Roman" w:eastAsia="宋体"/>
      <w:kern w:val="2"/>
      <w:sz w:val="21"/>
      <w:szCs w:val="24"/>
      <w:lang w:val="en-US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2420</Words>
  <Characters>2770</Characters>
  <Lines>21</Lines>
  <Paragraphs>5</Paragraphs>
  <TotalTime>11</TotalTime>
  <ScaleCrop>false</ScaleCrop>
  <LinksUpToDate>false</LinksUpToDate>
  <CharactersWithSpaces>2794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2025-01-16T04:28:00Z</dcterms:created>
  <dc:creator>Dashing elder brother</dc:creator>
  <cp:lastModifiedBy>杨奕</cp:lastModifiedBy>
  <dcterms:modified xsi:type="dcterms:W3CDTF">2025-02-25T02:30:35Z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DD158369ADBF4A6A9D28F2986B17CADB_13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