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586F9">
      <w:pPr>
        <w:spacing w:line="600" w:lineRule="exact"/>
        <w:jc w:val="center"/>
        <w:rPr>
          <w:rFonts w:ascii="仿宋_GB2312" w:hAnsi="仿宋_GB2312" w:eastAsia="仿宋_GB2312" w:cs="仿宋_GB2312"/>
          <w:b/>
          <w:color w:val="000000" w:themeColor="text1"/>
          <w:sz w:val="32"/>
          <w:szCs w:val="32"/>
          <w:highlight w:val="none"/>
          <w14:textFill>
            <w14:solidFill>
              <w14:schemeClr w14:val="tx1"/>
            </w14:solidFill>
          </w14:textFill>
        </w:rPr>
      </w:pPr>
    </w:p>
    <w:p w14:paraId="7F491A51">
      <w:pPr>
        <w:spacing w:line="600" w:lineRule="exact"/>
        <w:jc w:val="center"/>
        <w:rPr>
          <w:rFonts w:ascii="仿宋_GB2312" w:hAnsi="仿宋_GB2312" w:eastAsia="仿宋_GB2312" w:cs="仿宋_GB2312"/>
          <w:b/>
          <w:color w:val="000000" w:themeColor="text1"/>
          <w:sz w:val="32"/>
          <w:szCs w:val="32"/>
          <w:highlight w:val="none"/>
          <w14:textFill>
            <w14:solidFill>
              <w14:schemeClr w14:val="tx1"/>
            </w14:solidFill>
          </w14:textFill>
        </w:rPr>
      </w:pPr>
    </w:p>
    <w:p w14:paraId="58073169">
      <w:pPr>
        <w:spacing w:line="600" w:lineRule="exact"/>
        <w:jc w:val="center"/>
        <w:rPr>
          <w:rFonts w:ascii="仿宋_GB2312" w:hAnsi="仿宋_GB2312" w:eastAsia="仿宋_GB2312" w:cs="仿宋_GB2312"/>
          <w:b/>
          <w:color w:val="000000" w:themeColor="text1"/>
          <w:sz w:val="32"/>
          <w:szCs w:val="32"/>
          <w:highlight w:val="none"/>
          <w14:textFill>
            <w14:solidFill>
              <w14:schemeClr w14:val="tx1"/>
            </w14:solidFill>
          </w14:textFill>
        </w:rPr>
      </w:pPr>
    </w:p>
    <w:p w14:paraId="3386A371">
      <w:pPr>
        <w:spacing w:line="600" w:lineRule="exact"/>
        <w:jc w:val="center"/>
        <w:rPr>
          <w:rFonts w:ascii="黑体" w:hAnsi="黑体" w:eastAsia="黑体" w:cs="黑体"/>
          <w:b/>
          <w:color w:val="000000" w:themeColor="text1"/>
          <w:sz w:val="52"/>
          <w:szCs w:val="52"/>
          <w:highlight w:val="none"/>
          <w14:textFill>
            <w14:solidFill>
              <w14:schemeClr w14:val="tx1"/>
            </w14:solidFill>
          </w14:textFill>
        </w:rPr>
      </w:pPr>
      <w:r>
        <w:rPr>
          <w:rFonts w:hint="eastAsia" w:ascii="黑体" w:hAnsi="黑体" w:eastAsia="黑体" w:cs="黑体"/>
          <w:b/>
          <w:color w:val="000000" w:themeColor="text1"/>
          <w:sz w:val="52"/>
          <w:szCs w:val="52"/>
          <w:highlight w:val="none"/>
          <w14:textFill>
            <w14:solidFill>
              <w14:schemeClr w14:val="tx1"/>
            </w14:solidFill>
          </w14:textFill>
        </w:rPr>
        <w:t>建设工程设计服务合同</w:t>
      </w:r>
    </w:p>
    <w:p w14:paraId="65245094">
      <w:pPr>
        <w:spacing w:line="600" w:lineRule="exact"/>
        <w:jc w:val="center"/>
        <w:rPr>
          <w:rFonts w:ascii="仿宋_GB2312" w:hAnsi="仿宋_GB2312" w:eastAsia="仿宋_GB2312" w:cs="仿宋_GB2312"/>
          <w:b/>
          <w:color w:val="000000" w:themeColor="text1"/>
          <w:sz w:val="44"/>
          <w:szCs w:val="44"/>
          <w:highlight w:val="none"/>
          <w14:textFill>
            <w14:solidFill>
              <w14:schemeClr w14:val="tx1"/>
            </w14:solidFill>
          </w14:textFill>
        </w:rPr>
      </w:pPr>
      <w:r>
        <w:rPr>
          <w:rFonts w:hint="eastAsia" w:ascii="仿宋_GB2312" w:hAnsi="仿宋_GB2312" w:eastAsia="仿宋_GB2312" w:cs="仿宋_GB2312"/>
          <w:b/>
          <w:color w:val="000000" w:themeColor="text1"/>
          <w:sz w:val="44"/>
          <w:szCs w:val="44"/>
          <w:highlight w:val="none"/>
          <w14:textFill>
            <w14:solidFill>
              <w14:schemeClr w14:val="tx1"/>
            </w14:solidFill>
          </w14:textFill>
        </w:rPr>
        <w:t>（广西大学通用格式）</w:t>
      </w:r>
    </w:p>
    <w:p w14:paraId="116B4C26">
      <w:pPr>
        <w:spacing w:line="600" w:lineRule="exact"/>
        <w:rPr>
          <w:rFonts w:ascii="仿宋_GB2312" w:hAnsi="仿宋_GB2312" w:eastAsia="仿宋_GB2312" w:cs="仿宋_GB2312"/>
          <w:color w:val="000000" w:themeColor="text1"/>
          <w:sz w:val="52"/>
          <w:szCs w:val="52"/>
          <w:highlight w:val="none"/>
          <w14:textFill>
            <w14:solidFill>
              <w14:schemeClr w14:val="tx1"/>
            </w14:solidFill>
          </w14:textFill>
        </w:rPr>
      </w:pPr>
    </w:p>
    <w:p w14:paraId="401067E3">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64294FC9">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3C78D8F5">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33BADCFB">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43887C87">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1B11F832">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bookmarkStart w:id="1" w:name="_GoBack"/>
      <w:bookmarkEnd w:id="1"/>
    </w:p>
    <w:p w14:paraId="77C65900">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p>
    <w:p w14:paraId="098CDD98">
      <w:pPr>
        <w:spacing w:line="600" w:lineRule="exact"/>
        <w:jc w:val="center"/>
        <w:rPr>
          <w:rFonts w:ascii="仿宋_GB2312" w:hAnsi="仿宋_GB2312" w:eastAsia="仿宋_GB2312" w:cs="仿宋_GB2312"/>
          <w:b/>
          <w:bCs/>
          <w:color w:val="000000" w:themeColor="text1"/>
          <w:sz w:val="32"/>
          <w:szCs w:val="32"/>
          <w:highlight w:val="none"/>
          <w14:textFill>
            <w14:solidFill>
              <w14:schemeClr w14:val="tx1"/>
            </w14:solidFill>
          </w14:textFill>
        </w:rPr>
      </w:pPr>
    </w:p>
    <w:p w14:paraId="486D990C">
      <w:pPr>
        <w:spacing w:line="600" w:lineRule="exact"/>
        <w:jc w:val="center"/>
        <w:rPr>
          <w:rFonts w:ascii="仿宋_GB2312" w:hAnsi="仿宋_GB2312" w:eastAsia="仿宋_GB2312" w:cs="仿宋_GB2312"/>
          <w:b/>
          <w:bCs/>
          <w:color w:val="000000" w:themeColor="text1"/>
          <w:sz w:val="32"/>
          <w:szCs w:val="32"/>
          <w:highlight w:val="none"/>
          <w14:textFill>
            <w14:solidFill>
              <w14:schemeClr w14:val="tx1"/>
            </w14:solidFill>
          </w14:textFill>
        </w:rPr>
      </w:pPr>
    </w:p>
    <w:p w14:paraId="22D770C6">
      <w:pPr>
        <w:spacing w:line="600" w:lineRule="exact"/>
        <w:jc w:val="center"/>
        <w:rPr>
          <w:rFonts w:ascii="仿宋_GB2312" w:hAnsi="仿宋_GB2312" w:eastAsia="仿宋_GB2312" w:cs="仿宋_GB2312"/>
          <w:b/>
          <w:bCs/>
          <w:color w:val="000000" w:themeColor="text1"/>
          <w:sz w:val="32"/>
          <w:szCs w:val="32"/>
          <w:highlight w:val="none"/>
          <w14:textFill>
            <w14:solidFill>
              <w14:schemeClr w14:val="tx1"/>
            </w14:solidFill>
          </w14:textFill>
        </w:rPr>
      </w:pPr>
    </w:p>
    <w:p w14:paraId="2B02A106">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项目名称： </w:t>
      </w:r>
      <w:r>
        <w:rPr>
          <w:rFonts w:ascii="仿宋_GB2312" w:hAnsi="仿宋_GB2312" w:eastAsia="仿宋_GB2312" w:cs="仿宋_GB2312"/>
          <w:b/>
          <w:bCs/>
          <w:color w:val="000000" w:themeColor="text1"/>
          <w:sz w:val="32"/>
          <w:szCs w:val="32"/>
          <w:highlight w:val="none"/>
          <w14:textFill>
            <w14:solidFill>
              <w14:schemeClr w14:val="tx1"/>
            </w14:solidFill>
          </w14:textFill>
        </w:rPr>
        <w:t xml:space="preserve">  </w:t>
      </w:r>
    </w:p>
    <w:p w14:paraId="0E8AC9C4">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37C3A839">
      <w:pPr>
        <w:spacing w:line="600" w:lineRule="exact"/>
        <w:jc w:val="lef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合同</w:t>
      </w:r>
      <w:r>
        <w:rPr>
          <w:rFonts w:hint="eastAsia" w:ascii="仿宋_GB2312" w:hAnsi="仿宋_GB2312" w:eastAsia="仿宋_GB2312" w:cs="仿宋_GB2312"/>
          <w:b/>
          <w:bCs/>
          <w:color w:val="000000" w:themeColor="text1"/>
          <w:spacing w:val="6"/>
          <w:sz w:val="32"/>
          <w:szCs w:val="32"/>
          <w:highlight w:val="none"/>
          <w14:textFill>
            <w14:solidFill>
              <w14:schemeClr w14:val="tx1"/>
            </w14:solidFill>
          </w14:textFill>
        </w:rPr>
        <w:t>编号</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ascii="仿宋_GB2312" w:hAnsi="仿宋_GB2312" w:eastAsia="仿宋_GB2312" w:cs="仿宋_GB2312"/>
          <w:b/>
          <w:bCs/>
          <w:color w:val="000000" w:themeColor="text1"/>
          <w:sz w:val="32"/>
          <w:szCs w:val="32"/>
          <w:highlight w:val="none"/>
          <w14:textFill>
            <w14:solidFill>
              <w14:schemeClr w14:val="tx1"/>
            </w14:solidFill>
          </w14:textFill>
        </w:rPr>
        <w:t xml:space="preserve">    </w:t>
      </w:r>
    </w:p>
    <w:p w14:paraId="2BF5EB02">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7C1B9437">
      <w:pPr>
        <w:spacing w:line="600" w:lineRule="exact"/>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签订合同地点：广西南宁市西乡塘区</w:t>
      </w:r>
    </w:p>
    <w:p w14:paraId="6B9F6DC4">
      <w:pPr>
        <w:spacing w:line="600" w:lineRule="exact"/>
        <w:ind w:firstLine="1760" w:firstLineChars="550"/>
        <w:rPr>
          <w:rFonts w:ascii="仿宋_GB2312" w:hAnsi="仿宋_GB2312" w:eastAsia="仿宋_GB2312" w:cs="仿宋_GB2312"/>
          <w:color w:val="000000" w:themeColor="text1"/>
          <w:sz w:val="32"/>
          <w:szCs w:val="32"/>
          <w:highlight w:val="none"/>
          <w:u w:val="single"/>
          <w14:textFill>
            <w14:solidFill>
              <w14:schemeClr w14:val="tx1"/>
            </w14:solidFill>
          </w14:textFill>
        </w:rPr>
      </w:pPr>
    </w:p>
    <w:p w14:paraId="41E16153">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签订合同时间：</w:t>
      </w:r>
      <w:bookmarkStart w:id="0" w:name="_Toc351203480"/>
    </w:p>
    <w:p w14:paraId="0066EE8E">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发包人：</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广西大学</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p>
    <w:p w14:paraId="54C775E4">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p>
    <w:p w14:paraId="350B4D21">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设计人：</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p>
    <w:p w14:paraId="5D454AC9">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发包人委托设计人承担</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工程设计服务</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，工程地点为</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广西南宁市大学东路</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100</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号广西大学内</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，经双方协商一致，签订本合同，共同执行。</w:t>
      </w:r>
    </w:p>
    <w:p w14:paraId="0696277B">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w:t>
      </w:r>
    </w:p>
    <w:p w14:paraId="0FAF33EB">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第一条　本合同签订依据</w:t>
      </w:r>
    </w:p>
    <w:p w14:paraId="515C3A5D">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1.1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《中华人民共和国民法典》</w:t>
      </w:r>
      <w:r>
        <w:rPr>
          <w:rFonts w:hint="eastAsia" w:ascii="宋体" w:hAnsi="宋体"/>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、《中华人民共和国建筑法》、《建设工程勘测设计市场管理规定》</w:t>
      </w:r>
    </w:p>
    <w:p w14:paraId="6A72CCE2">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1.2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国家及地方有关建设工程勘测设计管理法规和规章。</w:t>
      </w:r>
    </w:p>
    <w:p w14:paraId="00DA310F">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1.3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建设工程批准文件。</w:t>
      </w:r>
    </w:p>
    <w:p w14:paraId="13B5C6DD">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p>
    <w:p w14:paraId="47872DEF">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第二条　设计依据</w:t>
      </w:r>
    </w:p>
    <w:p w14:paraId="22D2A155">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2.1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发包人给设计人的委托书或中标通知书</w:t>
      </w:r>
    </w:p>
    <w:p w14:paraId="2C7D9F92">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2.2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发包人提交的基础资料</w:t>
      </w:r>
    </w:p>
    <w:p w14:paraId="249EE8A6">
      <w:pPr>
        <w:spacing w:line="600" w:lineRule="exact"/>
        <w:ind w:firstLine="643" w:firstLineChars="200"/>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2.3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设计人采用的主要技术标准是：</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《民用建筑设计通则》（</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GB50352-2005</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）、《建筑装饰装修工程质量验收规范》（</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GB50210-2001</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）、《建筑抗震设防分类标准》（</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GB50223-2008</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）、《建筑设计防火规范》（</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GB50016-2014</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）等</w:t>
      </w:r>
      <w:r>
        <w:rPr>
          <w:rFonts w:hint="eastAsia" w:ascii="仿宋_GB2312" w:hAnsi="仿宋_GB2312" w:eastAsia="仿宋_GB2312" w:cs="仿宋_GB2312"/>
          <w:b/>
          <w:bCs/>
          <w:color w:val="000000" w:themeColor="text1"/>
          <w:kern w:val="0"/>
          <w:sz w:val="32"/>
          <w:szCs w:val="32"/>
          <w:highlight w:val="none"/>
          <w:u w:val="single"/>
          <w14:textFill>
            <w14:solidFill>
              <w14:schemeClr w14:val="tx1"/>
            </w14:solidFill>
          </w14:textFill>
        </w:rPr>
        <w:t>现行有效的国家标准、行业标准、工程所在地的地方性标准，以及相应的规范、规程。</w:t>
      </w:r>
    </w:p>
    <w:p w14:paraId="29FD5829">
      <w:pPr>
        <w:spacing w:line="600" w:lineRule="exact"/>
        <w:ind w:firstLine="56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w:t>
      </w:r>
    </w:p>
    <w:p w14:paraId="3153A148">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第三条　合同文件的优先次序</w:t>
      </w:r>
    </w:p>
    <w:p w14:paraId="45B0791D">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构成本合同的文件可视为是能互相说明的，如果合同文件存在歧义或不一致，则根据如下优先次序来判断：</w:t>
      </w:r>
    </w:p>
    <w:p w14:paraId="628EB326">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3.1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合同书</w:t>
      </w:r>
    </w:p>
    <w:p w14:paraId="43CBFF4B">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3.2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通用合同条款（</w:t>
      </w:r>
      <w:r>
        <w:rPr>
          <w:rFonts w:ascii="仿宋_GB2312" w:hAnsi="仿宋_GB2312" w:eastAsia="仿宋_GB2312" w:cs="仿宋_GB2312"/>
          <w:b/>
          <w:bCs/>
          <w:color w:val="000000" w:themeColor="text1"/>
          <w:sz w:val="32"/>
          <w:szCs w:val="32"/>
          <w:highlight w:val="none"/>
          <w14:textFill>
            <w14:solidFill>
              <w14:schemeClr w14:val="tx1"/>
            </w14:solidFill>
          </w14:textFill>
        </w:rPr>
        <w:t>GF—2015—0210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14:paraId="0E5FEE04">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3.3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中标</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通知书</w:t>
      </w:r>
    </w:p>
    <w:p w14:paraId="1F2B4132">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3.4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投标函及附录</w:t>
      </w:r>
    </w:p>
    <w:p w14:paraId="74C660BA">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3.5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发包人委托书及要求</w:t>
      </w:r>
    </w:p>
    <w:p w14:paraId="31A5C4AB">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3.6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技术标准</w:t>
      </w:r>
    </w:p>
    <w:p w14:paraId="6A157405">
      <w:pPr>
        <w:spacing w:line="600" w:lineRule="exact"/>
        <w:ind w:firstLine="643" w:firstLineChars="200"/>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上述各项</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合同</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文件包括合同当事人就该项合同文件所作出的补充和修改，属于同一类内容的文件，应以最新签署的为准。</w:t>
      </w:r>
    </w:p>
    <w:p w14:paraId="0C68AEA9">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在合同履行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过程</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中形成的与合同有关的文件均构成合同文件组成部分，并根据其性质确定优先解释顺序。</w:t>
      </w:r>
    </w:p>
    <w:p w14:paraId="77B21C76">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w:t>
      </w:r>
    </w:p>
    <w:p w14:paraId="1C600FD6">
      <w:pPr>
        <w:spacing w:line="60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第四条本合同项目的设计概况：</w:t>
      </w:r>
    </w:p>
    <w:p w14:paraId="2BFF49BC">
      <w:pPr>
        <w:tabs>
          <w:tab w:val="left" w:pos="1276"/>
        </w:tabs>
        <w:spacing w:line="600" w:lineRule="exact"/>
        <w:ind w:firstLine="643" w:firstLineChars="200"/>
        <w:jc w:val="left"/>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4.1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设计阶段包括：</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施工图设计。</w:t>
      </w:r>
    </w:p>
    <w:p w14:paraId="616DD417">
      <w:pPr>
        <w:tabs>
          <w:tab w:val="left" w:pos="1276"/>
        </w:tabs>
        <w:spacing w:line="600" w:lineRule="exact"/>
        <w:ind w:firstLine="643" w:firstLineChars="200"/>
        <w:jc w:val="lef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4.2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项目投资概算</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万元</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14:paraId="1C7A609F">
      <w:pPr>
        <w:tabs>
          <w:tab w:val="left" w:pos="1276"/>
        </w:tabs>
        <w:spacing w:line="600" w:lineRule="exact"/>
        <w:ind w:firstLine="643" w:firstLineChars="200"/>
        <w:jc w:val="left"/>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4.3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项目设计内容：</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施工图方案设计（含设计概算）、施工图设计（含变更）。</w:t>
      </w:r>
    </w:p>
    <w:p w14:paraId="64B777C2">
      <w:pPr>
        <w:tabs>
          <w:tab w:val="left" w:pos="1276"/>
        </w:tabs>
        <w:spacing w:line="600" w:lineRule="exact"/>
        <w:ind w:firstLine="643" w:firstLineChars="200"/>
        <w:jc w:val="left"/>
        <w:rPr>
          <w:rFonts w:ascii="仿宋_GB2312" w:hAnsi="仿宋_GB2312" w:eastAsia="仿宋_GB2312" w:cs="仿宋_GB2312"/>
          <w:b/>
          <w:bCs/>
          <w:color w:val="000000" w:themeColor="text1"/>
          <w:sz w:val="32"/>
          <w:szCs w:val="32"/>
          <w:highlight w:val="none"/>
          <w:u w:val="single"/>
          <w14:textFill>
            <w14:solidFill>
              <w14:schemeClr w14:val="tx1"/>
            </w14:solidFill>
          </w14:textFill>
        </w:rPr>
      </w:pPr>
    </w:p>
    <w:p w14:paraId="45563624">
      <w:pPr>
        <w:numPr>
          <w:ilvl w:val="0"/>
          <w:numId w:val="1"/>
        </w:numPr>
        <w:tabs>
          <w:tab w:val="left" w:pos="1276"/>
        </w:tabs>
        <w:spacing w:line="600" w:lineRule="exact"/>
        <w:jc w:val="lef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发包人向设计人提交的有关资料、份数及时间</w:t>
      </w:r>
    </w:p>
    <w:tbl>
      <w:tblPr>
        <w:tblStyle w:val="12"/>
        <w:tblW w:w="9180"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92"/>
        <w:gridCol w:w="900"/>
        <w:gridCol w:w="2148"/>
        <w:gridCol w:w="2592"/>
      </w:tblGrid>
      <w:tr w14:paraId="4EBE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EAE4522">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序号</w:t>
            </w:r>
          </w:p>
        </w:tc>
        <w:tc>
          <w:tcPr>
            <w:tcW w:w="2892" w:type="dxa"/>
            <w:vAlign w:val="center"/>
          </w:tcPr>
          <w:p w14:paraId="107226C9">
            <w:pPr>
              <w:widowControl/>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资料及文件名称</w:t>
            </w:r>
          </w:p>
        </w:tc>
        <w:tc>
          <w:tcPr>
            <w:tcW w:w="900" w:type="dxa"/>
            <w:vAlign w:val="center"/>
          </w:tcPr>
          <w:p w14:paraId="4EEE77D3">
            <w:pPr>
              <w:widowControl/>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份数</w:t>
            </w:r>
          </w:p>
        </w:tc>
        <w:tc>
          <w:tcPr>
            <w:tcW w:w="2148" w:type="dxa"/>
            <w:vAlign w:val="center"/>
          </w:tcPr>
          <w:p w14:paraId="3F4A72A5">
            <w:pPr>
              <w:widowControl/>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提交日期</w:t>
            </w:r>
          </w:p>
        </w:tc>
        <w:tc>
          <w:tcPr>
            <w:tcW w:w="2592" w:type="dxa"/>
            <w:vAlign w:val="center"/>
          </w:tcPr>
          <w:p w14:paraId="6C594C55">
            <w:pPr>
              <w:widowControl/>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有关事宜</w:t>
            </w:r>
          </w:p>
        </w:tc>
      </w:tr>
      <w:tr w14:paraId="34CB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648" w:type="dxa"/>
            <w:vAlign w:val="center"/>
          </w:tcPr>
          <w:p w14:paraId="46AEF51D">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w:t>
            </w:r>
          </w:p>
        </w:tc>
        <w:tc>
          <w:tcPr>
            <w:tcW w:w="2892" w:type="dxa"/>
            <w:vAlign w:val="center"/>
          </w:tcPr>
          <w:p w14:paraId="0091F9D9">
            <w:pPr>
              <w:spacing w:line="6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委托书或设计任务书</w:t>
            </w:r>
          </w:p>
        </w:tc>
        <w:tc>
          <w:tcPr>
            <w:tcW w:w="900" w:type="dxa"/>
            <w:vAlign w:val="center"/>
          </w:tcPr>
          <w:p w14:paraId="775CE43B">
            <w:pPr>
              <w:spacing w:line="6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148" w:type="dxa"/>
            <w:vAlign w:val="center"/>
          </w:tcPr>
          <w:p w14:paraId="19E4A62B">
            <w:pPr>
              <w:spacing w:line="6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签订合同后（</w:t>
            </w: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tc>
        <w:tc>
          <w:tcPr>
            <w:tcW w:w="2592" w:type="dxa"/>
          </w:tcPr>
          <w:p w14:paraId="3B0F56FB">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tc>
      </w:tr>
      <w:tr w14:paraId="4795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48" w:type="dxa"/>
            <w:vAlign w:val="center"/>
          </w:tcPr>
          <w:p w14:paraId="6293E189">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2</w:t>
            </w:r>
          </w:p>
        </w:tc>
        <w:tc>
          <w:tcPr>
            <w:tcW w:w="2892" w:type="dxa"/>
            <w:vAlign w:val="center"/>
          </w:tcPr>
          <w:p w14:paraId="104CB547">
            <w:pPr>
              <w:spacing w:line="6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变更通知书</w:t>
            </w:r>
          </w:p>
        </w:tc>
        <w:tc>
          <w:tcPr>
            <w:tcW w:w="900" w:type="dxa"/>
            <w:vAlign w:val="center"/>
          </w:tcPr>
          <w:p w14:paraId="2645C97B">
            <w:pPr>
              <w:spacing w:line="6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2148" w:type="dxa"/>
            <w:vAlign w:val="center"/>
          </w:tcPr>
          <w:p w14:paraId="600EAEC0">
            <w:pPr>
              <w:spacing w:line="6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发包人作出变更决定日</w:t>
            </w:r>
          </w:p>
        </w:tc>
        <w:tc>
          <w:tcPr>
            <w:tcW w:w="2592" w:type="dxa"/>
          </w:tcPr>
          <w:p w14:paraId="59B44EAE">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tc>
      </w:tr>
      <w:tr w14:paraId="7B93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48" w:type="dxa"/>
            <w:vAlign w:val="center"/>
          </w:tcPr>
          <w:p w14:paraId="4BFD225E">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3</w:t>
            </w:r>
          </w:p>
        </w:tc>
        <w:tc>
          <w:tcPr>
            <w:tcW w:w="2892" w:type="dxa"/>
            <w:vAlign w:val="center"/>
          </w:tcPr>
          <w:p w14:paraId="4428B369">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p>
        </w:tc>
        <w:tc>
          <w:tcPr>
            <w:tcW w:w="900" w:type="dxa"/>
            <w:vAlign w:val="center"/>
          </w:tcPr>
          <w:p w14:paraId="1BBFBCFA">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p>
        </w:tc>
        <w:tc>
          <w:tcPr>
            <w:tcW w:w="2148" w:type="dxa"/>
            <w:vAlign w:val="center"/>
          </w:tcPr>
          <w:p w14:paraId="71B72046">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p>
        </w:tc>
        <w:tc>
          <w:tcPr>
            <w:tcW w:w="2592" w:type="dxa"/>
          </w:tcPr>
          <w:p w14:paraId="7BFFD9FD">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tc>
      </w:tr>
    </w:tbl>
    <w:p w14:paraId="5D40B8CC">
      <w:pPr>
        <w:tabs>
          <w:tab w:val="left" w:pos="1276"/>
        </w:tabs>
        <w:adjustRightInd w:val="0"/>
        <w:spacing w:line="600" w:lineRule="exact"/>
        <w:textAlignment w:val="baseline"/>
        <w:rPr>
          <w:rFonts w:ascii="仿宋_GB2312" w:hAnsi="仿宋_GB2312" w:eastAsia="仿宋_GB2312" w:cs="仿宋_GB2312"/>
          <w:color w:val="000000" w:themeColor="text1"/>
          <w:sz w:val="32"/>
          <w:szCs w:val="32"/>
          <w:highlight w:val="none"/>
          <w14:textFill>
            <w14:solidFill>
              <w14:schemeClr w14:val="tx1"/>
            </w14:solidFill>
          </w14:textFill>
        </w:rPr>
      </w:pPr>
    </w:p>
    <w:p w14:paraId="4D47334B">
      <w:pPr>
        <w:tabs>
          <w:tab w:val="left" w:pos="1276"/>
        </w:tabs>
        <w:adjustRightInd w:val="0"/>
        <w:spacing w:line="600" w:lineRule="exact"/>
        <w:ind w:left="426"/>
        <w:textAlignment w:val="baseline"/>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第六条设计人向发包人交付的设计文件、份数及时间</w:t>
      </w:r>
    </w:p>
    <w:tbl>
      <w:tblPr>
        <w:tblStyle w:val="12"/>
        <w:tblpPr w:leftFromText="180" w:rightFromText="180" w:vertAnchor="text" w:horzAnchor="page" w:tblpX="1867" w:tblpY="211"/>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091"/>
        <w:gridCol w:w="765"/>
        <w:gridCol w:w="2715"/>
        <w:gridCol w:w="2795"/>
      </w:tblGrid>
      <w:tr w14:paraId="7524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A719844">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序号</w:t>
            </w:r>
          </w:p>
        </w:tc>
        <w:tc>
          <w:tcPr>
            <w:tcW w:w="2091" w:type="dxa"/>
            <w:vAlign w:val="center"/>
          </w:tcPr>
          <w:p w14:paraId="4E75A92A">
            <w:pPr>
              <w:widowControl/>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资料及文件名称</w:t>
            </w:r>
          </w:p>
        </w:tc>
        <w:tc>
          <w:tcPr>
            <w:tcW w:w="765" w:type="dxa"/>
            <w:vAlign w:val="center"/>
          </w:tcPr>
          <w:p w14:paraId="6735FBB8">
            <w:pPr>
              <w:widowControl/>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份数</w:t>
            </w:r>
          </w:p>
        </w:tc>
        <w:tc>
          <w:tcPr>
            <w:tcW w:w="2715" w:type="dxa"/>
            <w:vAlign w:val="center"/>
          </w:tcPr>
          <w:p w14:paraId="35943691">
            <w:pPr>
              <w:widowControl/>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提交日期</w:t>
            </w:r>
          </w:p>
        </w:tc>
        <w:tc>
          <w:tcPr>
            <w:tcW w:w="2795" w:type="dxa"/>
            <w:vAlign w:val="center"/>
          </w:tcPr>
          <w:p w14:paraId="7C7FD8FA">
            <w:pPr>
              <w:widowControl/>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有关事宜</w:t>
            </w:r>
          </w:p>
        </w:tc>
      </w:tr>
      <w:tr w14:paraId="629B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trPr>
        <w:tc>
          <w:tcPr>
            <w:tcW w:w="814" w:type="dxa"/>
            <w:vAlign w:val="center"/>
          </w:tcPr>
          <w:p w14:paraId="32C88DCB">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w:t>
            </w:r>
          </w:p>
        </w:tc>
        <w:tc>
          <w:tcPr>
            <w:tcW w:w="2091" w:type="dxa"/>
            <w:vAlign w:val="center"/>
          </w:tcPr>
          <w:p w14:paraId="5B519663">
            <w:pPr>
              <w:autoSpaceDE w:val="0"/>
              <w:autoSpaceDN w:val="0"/>
              <w:adjustRightInd w:val="0"/>
              <w:spacing w:before="100" w:after="100"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施工图设计文件（纸质及电子资料）</w:t>
            </w:r>
          </w:p>
        </w:tc>
        <w:tc>
          <w:tcPr>
            <w:tcW w:w="765" w:type="dxa"/>
            <w:vAlign w:val="center"/>
          </w:tcPr>
          <w:p w14:paraId="7D7AA9B9">
            <w:pPr>
              <w:autoSpaceDE w:val="0"/>
              <w:autoSpaceDN w:val="0"/>
              <w:adjustRightInd w:val="0"/>
              <w:spacing w:before="100" w:after="100"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w:t>
            </w:r>
          </w:p>
        </w:tc>
        <w:tc>
          <w:tcPr>
            <w:tcW w:w="2715" w:type="dxa"/>
            <w:vAlign w:val="center"/>
          </w:tcPr>
          <w:p w14:paraId="60E9B11A">
            <w:pPr>
              <w:spacing w:line="6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发包人发出开始设计工作书面通知书（10）日</w:t>
            </w:r>
          </w:p>
        </w:tc>
        <w:tc>
          <w:tcPr>
            <w:tcW w:w="2795" w:type="dxa"/>
          </w:tcPr>
          <w:p w14:paraId="0D26890C">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提供设计技术交底、参加图纸会审、解决施工中的设计技术问题、参加试车（试运行）考核和竣工验收</w:t>
            </w:r>
          </w:p>
        </w:tc>
      </w:tr>
    </w:tbl>
    <w:p w14:paraId="48BC82BB">
      <w:pPr>
        <w:spacing w:line="600" w:lineRule="exact"/>
        <w:rPr>
          <w:rFonts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 </w:t>
      </w:r>
      <w:r>
        <w:rPr>
          <w:rFonts w:hint="eastAsia" w:ascii="仿宋_GB2312" w:hAnsi="仿宋_GB2312" w:eastAsia="仿宋_GB2312" w:cs="仿宋_GB2312"/>
          <w:color w:val="000000" w:themeColor="text1"/>
          <w:sz w:val="32"/>
          <w:szCs w:val="32"/>
          <w:highlight w:val="none"/>
          <w14:textFill>
            <w14:solidFill>
              <w14:schemeClr w14:val="tx1"/>
            </w14:solidFill>
          </w14:textFill>
        </w:rPr>
        <w:t>　</w:t>
      </w:r>
    </w:p>
    <w:p w14:paraId="390EFAE5">
      <w:pPr>
        <w:numPr>
          <w:ilvl w:val="0"/>
          <w:numId w:val="2"/>
        </w:numPr>
        <w:spacing w:line="600" w:lineRule="exact"/>
        <w:ind w:firstLine="803" w:firstLineChars="25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　合同价款与支付</w:t>
      </w:r>
    </w:p>
    <w:p w14:paraId="2C9FFF8A">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7.1</w:t>
      </w:r>
      <w:r>
        <w:rPr>
          <w:rFonts w:hint="eastAsia" w:ascii="仿宋_GB2312" w:hAnsi="仿宋_GB2312" w:eastAsia="仿宋_GB2312" w:cs="仿宋_GB2312"/>
          <w:b/>
          <w:color w:val="000000" w:themeColor="text1"/>
          <w:sz w:val="32"/>
          <w:szCs w:val="32"/>
          <w:highlight w:val="none"/>
          <w14:textFill>
            <w14:solidFill>
              <w14:schemeClr w14:val="tx1"/>
            </w14:solidFill>
          </w14:textFill>
        </w:rPr>
        <w:t>本合同签约价款为：暂定（大写）</w:t>
      </w:r>
      <w:r>
        <w:rPr>
          <w:rFonts w:hint="eastAsia" w:ascii="仿宋_GB2312" w:hAnsi="仿宋_GB2312" w:eastAsia="仿宋_GB2312" w:cs="仿宋_GB2312"/>
          <w:b/>
          <w:color w:val="000000" w:themeColor="text1"/>
          <w:sz w:val="32"/>
          <w:szCs w:val="32"/>
          <w:highlight w:val="none"/>
          <w:u w:val="single"/>
          <w14:textFill>
            <w14:solidFill>
              <w14:schemeClr w14:val="tx1"/>
            </w14:solidFill>
          </w14:textFill>
        </w:rPr>
        <w:t xml:space="preserve">  </w:t>
      </w:r>
      <w:r>
        <w:rPr>
          <w:rFonts w:ascii="仿宋_GB2312" w:hAnsi="仿宋_GB2312" w:eastAsia="仿宋_GB2312" w:cs="仿宋_GB2312"/>
          <w:b/>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u w:val="single"/>
          <w14:textFill>
            <w14:solidFill>
              <w14:schemeClr w14:val="tx1"/>
            </w14:solidFill>
          </w14:textFill>
        </w:rPr>
        <w:t xml:space="preserve"> </w:t>
      </w:r>
      <w:r>
        <w:rPr>
          <w:rFonts w:ascii="仿宋_GB2312" w:hAnsi="仿宋_GB2312" w:eastAsia="仿宋_GB2312" w:cs="仿宋_GB2312"/>
          <w:b/>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（其中：工程设计基本服务费：</w:t>
      </w:r>
      <w:r>
        <w:rPr>
          <w:rFonts w:ascii="仿宋_GB2312" w:hAnsi="仿宋_GB2312" w:eastAsia="仿宋_GB2312" w:cs="仿宋_GB2312"/>
          <w:b/>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工程设计其他服务费：</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无</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ascii="仿宋_GB2312" w:hAnsi="仿宋_GB2312" w:eastAsia="仿宋_GB2312" w:cs="仿宋_GB2312"/>
          <w:b/>
          <w:bCs/>
          <w:color w:val="000000" w:themeColor="text1"/>
          <w:kern w:val="0"/>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。在未签订合同前发包人已经同意或接受或已使用的设计人为发包人所做的各项工作的费用</w:t>
      </w:r>
      <w:r>
        <w:rPr>
          <w:rFonts w:ascii="仿宋_GB2312" w:hAnsi="仿宋_GB2312" w:eastAsia="仿宋_GB2312" w:cs="仿宋_GB2312"/>
          <w:b/>
          <w:bCs/>
          <w:color w:val="000000" w:themeColor="text1"/>
          <w:kern w:val="0"/>
          <w:sz w:val="32"/>
          <w:szCs w:val="32"/>
          <w:highlight w:val="none"/>
          <w:u w:val="single"/>
          <w14:textFill>
            <w14:solidFill>
              <w14:schemeClr w14:val="tx1"/>
            </w14:solidFill>
          </w14:textFill>
        </w:rPr>
        <w:t xml:space="preserve">  0 </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14:paraId="136933E2">
      <w:pPr>
        <w:spacing w:line="600" w:lineRule="exact"/>
        <w:ind w:firstLine="803" w:firstLineChars="25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本项目设计费收费标准按桂建标〔2018〕37号文执行，即参照《广西壮族自治区工程建设其他费用定额》2018年版，工程费用暂按</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万元计取，专业调整系数按1.0计取；工程复杂程度调整系数按复杂工程1.0计取；附加调整系数按1.</w:t>
      </w:r>
      <w:r>
        <w:rPr>
          <w:rFonts w:ascii="仿宋_GB2312" w:hAnsi="仿宋_GB2312" w:eastAsia="仿宋_GB2312" w:cs="仿宋_GB2312"/>
          <w:b/>
          <w:bCs/>
          <w:color w:val="000000" w:themeColor="text1"/>
          <w:sz w:val="32"/>
          <w:szCs w:val="32"/>
          <w:highlight w:val="none"/>
          <w14:textFill>
            <w14:solidFill>
              <w14:schemeClr w14:val="tx1"/>
            </w14:solidFill>
          </w14:textFill>
        </w:rPr>
        <w:t>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计取，下浮系数是</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14:paraId="0EDC1546">
      <w:pPr>
        <w:spacing w:line="600" w:lineRule="exact"/>
        <w:ind w:firstLine="803" w:firstLineChars="25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工程设计费结算价</w:t>
      </w:r>
      <w:r>
        <w:rPr>
          <w:rFonts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（以发包人审定的扣除暂列金额后的预算控制价）计算的收费基价×专业调整系数×工程复杂程度调整系数×附加调整系数×（1-下浮系数）</w:t>
      </w:r>
    </w:p>
    <w:p w14:paraId="409F4F1C">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工程设计中采用标准设计或者复用设计的，按照同类新建项目基本设计收费的</w:t>
      </w:r>
      <w:r>
        <w:rPr>
          <w:rFonts w:ascii="仿宋_GB2312" w:hAnsi="仿宋_GB2312" w:eastAsia="仿宋_GB2312" w:cs="仿宋_GB2312"/>
          <w:b/>
          <w:bCs/>
          <w:color w:val="000000" w:themeColor="text1"/>
          <w:sz w:val="32"/>
          <w:szCs w:val="32"/>
          <w:highlight w:val="none"/>
          <w14:textFill>
            <w14:solidFill>
              <w14:schemeClr w14:val="tx1"/>
            </w14:solidFill>
          </w14:textFill>
        </w:rPr>
        <w:t>30%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计算收费；需要重新进行基础设计的，按照同类新建项目基本设计收费的</w:t>
      </w:r>
      <w:r>
        <w:rPr>
          <w:rFonts w:ascii="仿宋_GB2312" w:hAnsi="仿宋_GB2312" w:eastAsia="仿宋_GB2312" w:cs="仿宋_GB2312"/>
          <w:b/>
          <w:bCs/>
          <w:color w:val="000000" w:themeColor="text1"/>
          <w:sz w:val="32"/>
          <w:szCs w:val="32"/>
          <w:highlight w:val="none"/>
          <w14:textFill>
            <w14:solidFill>
              <w14:schemeClr w14:val="tx1"/>
            </w14:solidFill>
          </w14:textFill>
        </w:rPr>
        <w:t>40%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计算收费。</w:t>
      </w:r>
    </w:p>
    <w:p w14:paraId="690663D5">
      <w:pPr>
        <w:spacing w:line="600" w:lineRule="exact"/>
        <w:ind w:firstLine="803" w:firstLineChars="25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本合同总价包含的风险范围为除本合同第</w:t>
      </w:r>
      <w:r>
        <w:rPr>
          <w:rFonts w:ascii="仿宋_GB2312" w:hAnsi="仿宋_GB2312" w:eastAsia="仿宋_GB2312" w:cs="仿宋_GB2312"/>
          <w:b/>
          <w:bCs/>
          <w:color w:val="000000" w:themeColor="text1"/>
          <w:kern w:val="0"/>
          <w:sz w:val="32"/>
          <w:szCs w:val="32"/>
          <w:highlight w:val="none"/>
          <w14:textFill>
            <w14:solidFill>
              <w14:schemeClr w14:val="tx1"/>
            </w14:solidFill>
          </w14:textFill>
        </w:rPr>
        <w:t>8.1.5</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条以外的全部风险，风险</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范围内合同总价不作调整</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w:t>
      </w:r>
    </w:p>
    <w:p w14:paraId="601333BB">
      <w:p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7.2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支付方式：本项目无定金或预付款，设计人按合同约定提交全部设计成果文件，经发包人确认达到设计要求或经行政主管部门评审、审批后,待发包人审定预算控制价10天后， 经设计人书面申请，发包人向设计人支付90%的设计费。项目竣工验收合格后，由设计人书面申请，发包人结清10%设计费尾款。</w:t>
      </w:r>
    </w:p>
    <w:p w14:paraId="4E9DF68C">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第八条　</w:t>
      </w:r>
      <w:r>
        <w:rPr>
          <w:rFonts w:hint="eastAsia" w:ascii="仿宋_GB2312" w:hAnsi="仿宋_GB2312" w:eastAsia="仿宋_GB2312" w:cs="仿宋_GB2312"/>
          <w:color w:val="000000" w:themeColor="text1"/>
          <w:sz w:val="32"/>
          <w:szCs w:val="32"/>
          <w:highlight w:val="none"/>
          <w14:textFill>
            <w14:solidFill>
              <w14:schemeClr w14:val="tx1"/>
            </w14:solidFill>
          </w14:textFill>
        </w:rPr>
        <w:t>双方权利与责任</w:t>
      </w:r>
    </w:p>
    <w:p w14:paraId="6B08CECE">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8.1</w:t>
      </w:r>
      <w:r>
        <w:rPr>
          <w:rFonts w:hint="eastAsia" w:ascii="仿宋_GB2312" w:hAnsi="仿宋_GB2312" w:eastAsia="仿宋_GB2312" w:cs="仿宋_GB2312"/>
          <w:color w:val="000000" w:themeColor="text1"/>
          <w:sz w:val="32"/>
          <w:szCs w:val="32"/>
          <w:highlight w:val="none"/>
          <w14:textFill>
            <w14:solidFill>
              <w14:schemeClr w14:val="tx1"/>
            </w14:solidFill>
          </w14:textFill>
        </w:rPr>
        <w:t>发包人权利与责任：</w:t>
      </w:r>
    </w:p>
    <w:p w14:paraId="31AA0F2A">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8.1.1</w:t>
      </w:r>
      <w:r>
        <w:rPr>
          <w:rFonts w:hint="eastAsia" w:ascii="仿宋_GB2312" w:hAnsi="仿宋_GB2312" w:eastAsia="仿宋_GB2312" w:cs="仿宋_GB2312"/>
          <w:color w:val="000000" w:themeColor="text1"/>
          <w:sz w:val="32"/>
          <w:szCs w:val="32"/>
          <w:highlight w:val="none"/>
          <w14:textFill>
            <w14:solidFill>
              <w14:schemeClr w14:val="tx1"/>
            </w14:solidFill>
          </w14:textFill>
        </w:rPr>
        <w:t>发包人按本合同第五条规定的内容，在规定的时间内向设计人提交资料及文件，并对其完整性、正确性负责，发包人不得要求设计人违反国家有关标准进行设计。</w:t>
      </w:r>
    </w:p>
    <w:p w14:paraId="2DC076DA">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发包人提交上述资料及文件超过规定期限</w:t>
      </w:r>
      <w:r>
        <w:rPr>
          <w:rFonts w:ascii="仿宋_GB2312" w:hAnsi="仿宋_GB2312" w:eastAsia="仿宋_GB2312" w:cs="仿宋_GB2312"/>
          <w:color w:val="000000" w:themeColor="text1"/>
          <w:sz w:val="32"/>
          <w:szCs w:val="32"/>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32"/>
          <w:szCs w:val="32"/>
          <w:highlight w:val="none"/>
          <w14:textFill>
            <w14:solidFill>
              <w14:schemeClr w14:val="tx1"/>
            </w14:solidFill>
          </w14:textFill>
        </w:rPr>
        <w:t>天以内的，设计人按合同第六条规定交付设计文件时间顺延；超过规定期限</w:t>
      </w:r>
      <w:r>
        <w:rPr>
          <w:rFonts w:ascii="仿宋_GB2312" w:hAnsi="仿宋_GB2312" w:eastAsia="仿宋_GB2312" w:cs="仿宋_GB2312"/>
          <w:color w:val="000000" w:themeColor="text1"/>
          <w:sz w:val="32"/>
          <w:szCs w:val="32"/>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32"/>
          <w:szCs w:val="32"/>
          <w:highlight w:val="none"/>
          <w14:textFill>
            <w14:solidFill>
              <w14:schemeClr w14:val="tx1"/>
            </w14:solidFill>
          </w14:textFill>
        </w:rPr>
        <w:t>天以上时，设计人员有权重新确定提交设计文件的时间。</w:t>
      </w:r>
    </w:p>
    <w:p w14:paraId="2B1D95C9">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8.1.2</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设计费包干使用，发包人有权要求设计单位对设计成果作出修改，达到发包人满意为止。</w:t>
      </w:r>
    </w:p>
    <w:p w14:paraId="0F17900D">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8.1.3</w:t>
      </w:r>
      <w:r>
        <w:rPr>
          <w:rFonts w:hint="eastAsia" w:ascii="仿宋_GB2312" w:hAnsi="仿宋_GB2312" w:eastAsia="仿宋_GB2312" w:cs="仿宋_GB2312"/>
          <w:color w:val="000000" w:themeColor="text1"/>
          <w:sz w:val="32"/>
          <w:szCs w:val="32"/>
          <w:highlight w:val="none"/>
          <w14:textFill>
            <w14:solidFill>
              <w14:schemeClr w14:val="tx1"/>
            </w14:solidFill>
          </w14:textFill>
        </w:rPr>
        <w:t>发包人要求设计人比合同规定时间提前交付设计资料及文件时，如果设计人能够做到，发包人应根据设计人提前投入的工作量，向设计人支付赶工费。</w:t>
      </w:r>
    </w:p>
    <w:p w14:paraId="71F7F62C">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8.1.4</w:t>
      </w:r>
      <w:r>
        <w:rPr>
          <w:rFonts w:hint="eastAsia" w:ascii="仿宋_GB2312" w:hAnsi="仿宋_GB2312" w:eastAsia="仿宋_GB2312" w:cs="仿宋_GB2312"/>
          <w:color w:val="000000" w:themeColor="text1"/>
          <w:sz w:val="32"/>
          <w:szCs w:val="32"/>
          <w:highlight w:val="none"/>
          <w14:textFill>
            <w14:solidFill>
              <w14:schemeClr w14:val="tx1"/>
            </w14:solidFill>
          </w14:textFill>
        </w:rPr>
        <w:t>发包人应保护设计人的设计方案（文件）、资料图纸、数据、计算软件和专利技术。未经设计人同意，发包人对设计人交付的设计资料（文件）不得擅自修改、复制或向第三人转让或用于本合同外的项目，如发生以上情况，造成设计损失的，设计人有权向发包人提出索赔。</w:t>
      </w:r>
    </w:p>
    <w:p w14:paraId="0059AEA7">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 xml:space="preserve">8.1.5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发包人对设计内容、</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规模、功能、条件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作出重大变更</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或因提交的设计资料存在重大错误</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，造成设计人已提交的设计成果文件不能继续使用的，</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发包人按设计人所耗的工作量向设计人支付设计费，金额由</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双方另行协商确定，或按本合同第</w:t>
      </w:r>
      <w:r>
        <w:rPr>
          <w:rFonts w:ascii="仿宋_GB2312" w:hAnsi="仿宋_GB2312" w:eastAsia="仿宋_GB2312" w:cs="仿宋_GB2312"/>
          <w:b/>
          <w:bCs/>
          <w:color w:val="000000" w:themeColor="text1"/>
          <w:sz w:val="32"/>
          <w:szCs w:val="32"/>
          <w:highlight w:val="none"/>
          <w14:textFill>
            <w14:solidFill>
              <w14:schemeClr w14:val="tx1"/>
            </w14:solidFill>
          </w14:textFill>
        </w:rPr>
        <w:t>7.1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条计算。</w:t>
      </w:r>
    </w:p>
    <w:p w14:paraId="7C44F9CC">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8.2</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设计人权利与责任：</w:t>
      </w:r>
    </w:p>
    <w:p w14:paraId="187BE9CA">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8.2.1</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设计人应按国家技术规范、标准、规程及发包人提出的设计要求，进行工程设计，按合同规定的进度要求提交质量合格的设计资料，并对其负责。</w:t>
      </w:r>
    </w:p>
    <w:p w14:paraId="4FDD3622">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8.2.2</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设计人采用的主要技术标准是：按照国家相关技术标准。</w:t>
      </w:r>
    </w:p>
    <w:p w14:paraId="21A7876C">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8.2.3</w:t>
      </w: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本项目设计合理使用年限为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符合国家相关规定</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24731B31">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8.2.4</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设计人按本合同第六条规定的内容、份数及时间向发包人交付成果文件。</w:t>
      </w:r>
    </w:p>
    <w:p w14:paraId="50AD52E6">
      <w:pPr>
        <w:pStyle w:val="7"/>
        <w:spacing w:line="60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8.2.5</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设计人交付设计成果文件后，若需要设计审查的，设计人应按规定参加有关的设计审查，并根据审查结论负责对设计内容做必要调整补充。</w:t>
      </w:r>
    </w:p>
    <w:p w14:paraId="1430BBA6">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8.2.6</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设计人应保护发包人的知识产权，不得向第三人泄露、转让发包人提交的资料。如发生以上情况并给发包人造成经济损失，发包人有权向设计人索赔。</w:t>
      </w:r>
    </w:p>
    <w:p w14:paraId="1D3A1F54">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8.2.7</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设计单位应做好后期的服务工作。</w:t>
      </w:r>
    </w:p>
    <w:p w14:paraId="15DA050F">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49B48E60">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第九条</w:t>
      </w:r>
      <w:r>
        <w:rPr>
          <w:rFonts w:hint="eastAsia" w:ascii="仿宋_GB2312" w:hAnsi="仿宋_GB2312" w:eastAsia="仿宋_GB2312" w:cs="仿宋_GB2312"/>
          <w:color w:val="000000" w:themeColor="text1"/>
          <w:sz w:val="32"/>
          <w:szCs w:val="32"/>
          <w:highlight w:val="none"/>
          <w14:textFill>
            <w14:solidFill>
              <w14:schemeClr w14:val="tx1"/>
            </w14:solidFill>
          </w14:textFill>
        </w:rPr>
        <w:t>违约责任：</w:t>
      </w:r>
    </w:p>
    <w:p w14:paraId="16460025">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9.1</w:t>
      </w:r>
      <w:r>
        <w:rPr>
          <w:rFonts w:hint="eastAsia" w:ascii="仿宋_GB2312" w:hAnsi="仿宋_GB2312" w:eastAsia="仿宋_GB2312" w:cs="仿宋_GB2312"/>
          <w:color w:val="000000" w:themeColor="text1"/>
          <w:sz w:val="32"/>
          <w:szCs w:val="32"/>
          <w:highlight w:val="none"/>
          <w14:textFill>
            <w14:solidFill>
              <w14:schemeClr w14:val="tx1"/>
            </w14:solidFill>
          </w14:textFill>
        </w:rPr>
        <w:t>在合同履行期间，发包人要求终止或解除合同，设计人未开始设计工作的，不退还发包人已付的定金；已开始设计工作的，发包人应根据设计人已完成的工作进度，不足一半的，按该阶段设计费的一半支付；超过一半的，按该阶段设计费的全部支付。</w:t>
      </w:r>
    </w:p>
    <w:p w14:paraId="732A7879">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9.2</w:t>
      </w:r>
      <w:r>
        <w:rPr>
          <w:rFonts w:hint="eastAsia" w:ascii="仿宋_GB2312" w:hAnsi="仿宋_GB2312" w:eastAsia="仿宋_GB2312" w:cs="仿宋_GB2312"/>
          <w:color w:val="000000" w:themeColor="text1"/>
          <w:sz w:val="32"/>
          <w:szCs w:val="32"/>
          <w:highlight w:val="none"/>
          <w14:textFill>
            <w14:solidFill>
              <w14:schemeClr w14:val="tx1"/>
            </w14:solidFill>
          </w14:textFill>
        </w:rPr>
        <w:t>发包人应按合同第七条规定按时向设计人支付设计费，每逾期支付一天，应承担支付金额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万分之四</w:t>
      </w:r>
      <w:r>
        <w:rPr>
          <w:rFonts w:hint="eastAsia" w:ascii="仿宋_GB2312" w:hAnsi="仿宋_GB2312" w:eastAsia="仿宋_GB2312" w:cs="仿宋_GB2312"/>
          <w:color w:val="000000" w:themeColor="text1"/>
          <w:sz w:val="32"/>
          <w:szCs w:val="32"/>
          <w:highlight w:val="none"/>
          <w14:textFill>
            <w14:solidFill>
              <w14:schemeClr w14:val="tx1"/>
            </w14:solidFill>
          </w14:textFill>
        </w:rPr>
        <w:t>的逾期违约金。逾期超过</w:t>
      </w:r>
      <w:r>
        <w:rPr>
          <w:rFonts w:ascii="仿宋_GB2312" w:hAnsi="仿宋_GB2312" w:eastAsia="仿宋_GB2312" w:cs="仿宋_GB2312"/>
          <w:color w:val="000000" w:themeColor="text1"/>
          <w:sz w:val="32"/>
          <w:szCs w:val="32"/>
          <w:highlight w:val="none"/>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天以上时，设计人有权暂停履行余下的工作，并书面通知发包人。发包人的上级或设计审批部门对设计文件不审批或本合同项目停缓建，发包人应按</w:t>
      </w:r>
      <w:r>
        <w:rPr>
          <w:rFonts w:ascii="仿宋_GB2312" w:hAnsi="仿宋_GB2312" w:eastAsia="仿宋_GB2312" w:cs="仿宋_GB2312"/>
          <w:color w:val="000000" w:themeColor="text1"/>
          <w:sz w:val="32"/>
          <w:szCs w:val="32"/>
          <w:highlight w:val="none"/>
          <w14:textFill>
            <w14:solidFill>
              <w14:schemeClr w14:val="tx1"/>
            </w14:solidFill>
          </w14:textFill>
        </w:rPr>
        <w:t>7.1</w:t>
      </w:r>
      <w:r>
        <w:rPr>
          <w:rFonts w:hint="eastAsia" w:ascii="仿宋_GB2312" w:hAnsi="仿宋_GB2312" w:eastAsia="仿宋_GB2312" w:cs="仿宋_GB2312"/>
          <w:color w:val="000000" w:themeColor="text1"/>
          <w:sz w:val="32"/>
          <w:szCs w:val="32"/>
          <w:highlight w:val="none"/>
          <w14:textFill>
            <w14:solidFill>
              <w14:schemeClr w14:val="tx1"/>
            </w14:solidFill>
          </w14:textFill>
        </w:rPr>
        <w:t>条规定支付设计费。</w:t>
      </w:r>
    </w:p>
    <w:p w14:paraId="769D95C2">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9.3</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设计人对设计成果出现的遗漏或错误负责修改、补充。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由于设计人员错误造成工程质量事故损失，设计人除负责采取补救措施外，应免收该项目的设计费，</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并</w:t>
      </w:r>
      <w:r>
        <w:rPr>
          <w:rFonts w:hint="eastAsia" w:ascii="Times New Roman" w:hAnsi="Times New Roman" w:eastAsia="仿宋_GB2312"/>
          <w:b/>
          <w:bCs/>
          <w:color w:val="000000" w:themeColor="text1"/>
          <w:kern w:val="0"/>
          <w:sz w:val="30"/>
          <w:szCs w:val="28"/>
          <w:highlight w:val="none"/>
          <w14:textFill>
            <w14:solidFill>
              <w14:schemeClr w14:val="tx1"/>
            </w14:solidFill>
          </w14:textFill>
        </w:rPr>
        <w:t>通过所投建设工程设计责任保险向发包人承担赔偿责任或者根据直接经济损失程度向发包人支付赔偿金。</w:t>
      </w:r>
    </w:p>
    <w:p w14:paraId="74708B71">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9.4</w:t>
      </w:r>
      <w:r>
        <w:rPr>
          <w:rFonts w:hint="eastAsia" w:ascii="仿宋_GB2312" w:hAnsi="仿宋_GB2312" w:eastAsia="仿宋_GB2312" w:cs="仿宋_GB2312"/>
          <w:color w:val="000000" w:themeColor="text1"/>
          <w:sz w:val="32"/>
          <w:szCs w:val="32"/>
          <w:highlight w:val="none"/>
          <w14:textFill>
            <w14:solidFill>
              <w14:schemeClr w14:val="tx1"/>
            </w14:solidFill>
          </w14:textFill>
        </w:rPr>
        <w:t>由于设计人自身原因，延误了按本合同第六条规定的设计成果文件的交付时间的，每延误一天，应减收该项目应收设计费的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万分之四</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5E3789A4">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9.5</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合同生效后，设计人要求终止或解除合同，设计人应双倍返还定金。</w:t>
      </w:r>
    </w:p>
    <w:p w14:paraId="1293CFA1">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第十条</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w:t>
      </w:r>
    </w:p>
    <w:p w14:paraId="430964A4">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10.1</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设计人应派专人配合解决施工过程中的有关问题。</w:t>
      </w:r>
    </w:p>
    <w:p w14:paraId="13A329FE">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10.2</w:t>
      </w:r>
      <w:r>
        <w:rPr>
          <w:rFonts w:hint="eastAsia" w:ascii="仿宋_GB2312" w:hAnsi="仿宋_GB2312" w:eastAsia="仿宋_GB2312" w:cs="仿宋_GB2312"/>
          <w:color w:val="000000" w:themeColor="text1"/>
          <w:sz w:val="32"/>
          <w:szCs w:val="32"/>
          <w:highlight w:val="none"/>
          <w14:textFill>
            <w14:solidFill>
              <w14:schemeClr w14:val="tx1"/>
            </w14:solidFill>
          </w14:textFill>
        </w:rPr>
        <w:t>设计人为本合同项目所采用的国家或地方标准图，由发包人向有关出版部门购买。设计人交付的设计资料份数超过本合同第六条规定份数的，设计人另收工本费。</w:t>
      </w:r>
    </w:p>
    <w:p w14:paraId="6D6BB390">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10.3</w:t>
      </w:r>
      <w:r>
        <w:rPr>
          <w:rFonts w:hint="eastAsia" w:ascii="仿宋_GB2312" w:hAnsi="仿宋_GB2312" w:eastAsia="仿宋_GB2312" w:cs="仿宋_GB2312"/>
          <w:color w:val="000000" w:themeColor="text1"/>
          <w:sz w:val="32"/>
          <w:szCs w:val="32"/>
          <w:highlight w:val="none"/>
          <w14:textFill>
            <w14:solidFill>
              <w14:schemeClr w14:val="tx1"/>
            </w14:solidFill>
          </w14:textFill>
        </w:rPr>
        <w:t>本工程设计资料（文件）中，建筑材料、建筑构配件和设备，应当注明其规格、型号、性能等技术指标，设计人不得指定生产厂、供应商。</w:t>
      </w:r>
    </w:p>
    <w:p w14:paraId="655F037F">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10.4</w:t>
      </w:r>
      <w:r>
        <w:rPr>
          <w:rFonts w:hint="eastAsia" w:ascii="仿宋_GB2312" w:hAnsi="仿宋_GB2312" w:eastAsia="仿宋_GB2312" w:cs="仿宋_GB2312"/>
          <w:color w:val="000000" w:themeColor="text1"/>
          <w:sz w:val="32"/>
          <w:szCs w:val="32"/>
          <w:highlight w:val="none"/>
          <w14:textFill>
            <w14:solidFill>
              <w14:schemeClr w14:val="tx1"/>
            </w14:solidFill>
          </w14:textFill>
        </w:rPr>
        <w:t>由于不可抗力因素致使合同无法履行时，双方应及时协商解决。</w:t>
      </w:r>
    </w:p>
    <w:p w14:paraId="4CA83BFA">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10.5</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本合同发生争议，双方应及时协商解决。如协商不成的，双方可向合同签订地人民法院起诉。</w:t>
      </w:r>
    </w:p>
    <w:p w14:paraId="797714A3">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10.6</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本合同未尽事宜，双方可签定补充协议，有关协议均为本合同组成部分，与本合同具有同等法律效力。</w:t>
      </w:r>
    </w:p>
    <w:p w14:paraId="2DF23FEB">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10.7</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本合同一式捌份，发包人伍份，设计人叁份。</w:t>
      </w:r>
    </w:p>
    <w:p w14:paraId="1CEB54AE">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10.8</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本合同自双方签字并加盖公章或合同专用章之日起生效。</w:t>
      </w:r>
    </w:p>
    <w:p w14:paraId="187A56B4">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w:t>
      </w:r>
    </w:p>
    <w:p w14:paraId="75F9904E">
      <w:pPr>
        <w:spacing w:line="600" w:lineRule="exact"/>
        <w:ind w:left="4480" w:hanging="4480" w:hangingChars="14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发包人名称：（盖章）　　 　 设计人名称：（盖章）</w:t>
      </w:r>
    </w:p>
    <w:p w14:paraId="3F94E261">
      <w:pPr>
        <w:spacing w:line="600" w:lineRule="exact"/>
        <w:ind w:left="4480" w:hanging="4480" w:hangingChars="14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广西大学                   </w:t>
      </w:r>
    </w:p>
    <w:p w14:paraId="1686BA32">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法定代表人：（签字）</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法定代表人：（签字）　　　　</w:t>
      </w:r>
    </w:p>
    <w:p w14:paraId="467CDFBC">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委托代理人：（签字）　　　  委托代理人：（签字）</w:t>
      </w:r>
    </w:p>
    <w:p w14:paraId="5C248FD2">
      <w:pPr>
        <w:spacing w:line="600" w:lineRule="exact"/>
        <w:ind w:left="4480" w:hanging="4480" w:hangingChars="14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住所：南宁市大学东路100号  住所：</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p>
    <w:p w14:paraId="437059E0">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邮政编码：</w:t>
      </w:r>
      <w:r>
        <w:rPr>
          <w:rFonts w:ascii="仿宋_GB2312" w:hAnsi="仿宋_GB2312" w:eastAsia="仿宋_GB2312" w:cs="仿宋_GB2312"/>
          <w:color w:val="000000" w:themeColor="text1"/>
          <w:sz w:val="32"/>
          <w:szCs w:val="32"/>
          <w:highlight w:val="none"/>
          <w14:textFill>
            <w14:solidFill>
              <w14:schemeClr w14:val="tx1"/>
            </w14:solidFill>
          </w14:textFill>
        </w:rPr>
        <w:t>530004</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邮政编码：</w:t>
      </w:r>
    </w:p>
    <w:p w14:paraId="309DB1A0">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　　话：</w:t>
      </w:r>
      <w:r>
        <w:rPr>
          <w:rFonts w:ascii="仿宋_GB2312" w:hAnsi="仿宋_GB2312" w:eastAsia="仿宋_GB2312" w:cs="仿宋_GB2312"/>
          <w:color w:val="000000" w:themeColor="text1"/>
          <w:sz w:val="32"/>
          <w:szCs w:val="32"/>
          <w:highlight w:val="none"/>
          <w14:textFill>
            <w14:solidFill>
              <w14:schemeClr w14:val="tx1"/>
            </w14:solidFill>
          </w14:textFill>
        </w:rPr>
        <w:t>0771-3275420</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电　　话：</w:t>
      </w:r>
    </w:p>
    <w:p w14:paraId="2833E685">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传　　真：　               传　　真：</w:t>
      </w:r>
    </w:p>
    <w:p w14:paraId="0E660DDB">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开户银行：中国银行广西南宁 开户银行：</w:t>
      </w:r>
    </w:p>
    <w:p w14:paraId="00F3BADB">
      <w:pPr>
        <w:spacing w:line="600" w:lineRule="exact"/>
        <w:ind w:firstLine="1600" w:firstLineChars="5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市西大支行                 </w:t>
      </w:r>
    </w:p>
    <w:p w14:paraId="3C1CE29B">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银行账号：</w:t>
      </w:r>
      <w:r>
        <w:rPr>
          <w:rFonts w:ascii="仿宋_GB2312" w:hAnsi="仿宋_GB2312" w:eastAsia="仿宋_GB2312" w:cs="仿宋_GB2312"/>
          <w:color w:val="000000" w:themeColor="text1"/>
          <w:sz w:val="32"/>
          <w:szCs w:val="32"/>
          <w:highlight w:val="none"/>
          <w14:textFill>
            <w14:solidFill>
              <w14:schemeClr w14:val="tx1"/>
            </w14:solidFill>
          </w14:textFill>
        </w:rPr>
        <w:t xml:space="preserve">618457484938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银行账号：</w:t>
      </w:r>
    </w:p>
    <w:p w14:paraId="1D6B386D">
      <w:pPr>
        <w:spacing w:line="600" w:lineRule="exact"/>
        <w:ind w:firstLine="4480" w:firstLineChars="1400"/>
        <w:rPr>
          <w:rFonts w:ascii="仿宋_GB2312" w:hAnsi="仿宋_GB2312" w:eastAsia="仿宋_GB2312" w:cs="仿宋_GB2312"/>
          <w:color w:val="000000" w:themeColor="text1"/>
          <w:sz w:val="32"/>
          <w:szCs w:val="32"/>
          <w:highlight w:val="none"/>
          <w14:textFill>
            <w14:solidFill>
              <w14:schemeClr w14:val="tx1"/>
            </w14:solidFill>
          </w14:textFill>
        </w:rPr>
      </w:pPr>
    </w:p>
    <w:bookmarkEnd w:id="0"/>
    <w:p w14:paraId="09AEA0EE">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日期： </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年 </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日    </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日期：</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619143F4">
      <w:pPr>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05C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22A0330C">
                          <w:pPr>
                            <w:snapToGrid w:val="0"/>
                            <w:rPr>
                              <w:sz w:val="18"/>
                            </w:rPr>
                          </w:pPr>
                          <w:r>
                            <w:fldChar w:fldCharType="begin"/>
                          </w:r>
                          <w:r>
                            <w:instrText xml:space="preserve"> PAGE  \* MERGEFORMAT </w:instrText>
                          </w:r>
                          <w:r>
                            <w:fldChar w:fldCharType="separate"/>
                          </w:r>
                          <w:r>
                            <w:rPr>
                              <w:sz w:val="18"/>
                            </w:rPr>
                            <w:t>9</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14:paraId="22A0330C">
                    <w:pPr>
                      <w:snapToGrid w:val="0"/>
                      <w:rPr>
                        <w:sz w:val="18"/>
                      </w:rPr>
                    </w:pPr>
                    <w:r>
                      <w:fldChar w:fldCharType="begin"/>
                    </w:r>
                    <w:r>
                      <w:instrText xml:space="preserve"> PAGE  \* MERGEFORMAT </w:instrText>
                    </w:r>
                    <w:r>
                      <w:fldChar w:fldCharType="separate"/>
                    </w:r>
                    <w:r>
                      <w:rPr>
                        <w:sz w:val="18"/>
                      </w:rPr>
                      <w:t>9</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A3EF9"/>
    <w:multiLevelType w:val="singleLevel"/>
    <w:tmpl w:val="56FA3EF9"/>
    <w:lvl w:ilvl="0" w:tentative="0">
      <w:start w:val="7"/>
      <w:numFmt w:val="chineseCounting"/>
      <w:suff w:val="nothing"/>
      <w:lvlText w:val="第%1条"/>
      <w:lvlJc w:val="left"/>
      <w:rPr>
        <w:rFonts w:cs="Times New Roman"/>
      </w:rPr>
    </w:lvl>
  </w:abstractNum>
  <w:abstractNum w:abstractNumId="1">
    <w:nsid w:val="56FB8E1C"/>
    <w:multiLevelType w:val="singleLevel"/>
    <w:tmpl w:val="56FB8E1C"/>
    <w:lvl w:ilvl="0" w:tentative="0">
      <w:start w:val="5"/>
      <w:numFmt w:val="chineseCounting"/>
      <w:suff w:val="space"/>
      <w:lvlText w:val="第%1条"/>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3YTBmOTg3MzYwOWNkOTdjNTBlNjUzODJkZGIyZmMifQ=="/>
  </w:docVars>
  <w:rsids>
    <w:rsidRoot w:val="1D9D0012"/>
    <w:rsid w:val="00006D1E"/>
    <w:rsid w:val="00010324"/>
    <w:rsid w:val="00017261"/>
    <w:rsid w:val="00033845"/>
    <w:rsid w:val="000561A9"/>
    <w:rsid w:val="00071873"/>
    <w:rsid w:val="00072D57"/>
    <w:rsid w:val="00090E58"/>
    <w:rsid w:val="000B3556"/>
    <w:rsid w:val="000F7E18"/>
    <w:rsid w:val="00101AE8"/>
    <w:rsid w:val="00103531"/>
    <w:rsid w:val="00133D47"/>
    <w:rsid w:val="00162090"/>
    <w:rsid w:val="00183812"/>
    <w:rsid w:val="001B1CBC"/>
    <w:rsid w:val="001D024D"/>
    <w:rsid w:val="001E4678"/>
    <w:rsid w:val="001E6F99"/>
    <w:rsid w:val="001F3680"/>
    <w:rsid w:val="00253B37"/>
    <w:rsid w:val="002A3CBB"/>
    <w:rsid w:val="002B22B9"/>
    <w:rsid w:val="00330589"/>
    <w:rsid w:val="00343A32"/>
    <w:rsid w:val="003B5183"/>
    <w:rsid w:val="003B6C00"/>
    <w:rsid w:val="003C5AB4"/>
    <w:rsid w:val="0046253E"/>
    <w:rsid w:val="00486405"/>
    <w:rsid w:val="00486E8A"/>
    <w:rsid w:val="004C5E04"/>
    <w:rsid w:val="005246C8"/>
    <w:rsid w:val="005673AF"/>
    <w:rsid w:val="00584266"/>
    <w:rsid w:val="005971DF"/>
    <w:rsid w:val="005F3042"/>
    <w:rsid w:val="005F56FC"/>
    <w:rsid w:val="005F58E3"/>
    <w:rsid w:val="00644481"/>
    <w:rsid w:val="006576E3"/>
    <w:rsid w:val="006735CE"/>
    <w:rsid w:val="006A4DB6"/>
    <w:rsid w:val="006A7EDA"/>
    <w:rsid w:val="006D1D84"/>
    <w:rsid w:val="007750CA"/>
    <w:rsid w:val="007B62D1"/>
    <w:rsid w:val="0082705F"/>
    <w:rsid w:val="00830F4E"/>
    <w:rsid w:val="00852881"/>
    <w:rsid w:val="00861C4A"/>
    <w:rsid w:val="0086368B"/>
    <w:rsid w:val="00892C8B"/>
    <w:rsid w:val="00896EB3"/>
    <w:rsid w:val="008A2CD1"/>
    <w:rsid w:val="008B6A0B"/>
    <w:rsid w:val="00902021"/>
    <w:rsid w:val="00903A44"/>
    <w:rsid w:val="00933EED"/>
    <w:rsid w:val="009E2EB0"/>
    <w:rsid w:val="009F3076"/>
    <w:rsid w:val="00A46025"/>
    <w:rsid w:val="00A56660"/>
    <w:rsid w:val="00A7119D"/>
    <w:rsid w:val="00A8202D"/>
    <w:rsid w:val="00AD3673"/>
    <w:rsid w:val="00B43070"/>
    <w:rsid w:val="00B6223C"/>
    <w:rsid w:val="00B66CDD"/>
    <w:rsid w:val="00BF095D"/>
    <w:rsid w:val="00C36B82"/>
    <w:rsid w:val="00C563A6"/>
    <w:rsid w:val="00C6774B"/>
    <w:rsid w:val="00C762DB"/>
    <w:rsid w:val="00CE1F8D"/>
    <w:rsid w:val="00D2356D"/>
    <w:rsid w:val="00D425F1"/>
    <w:rsid w:val="00D5446C"/>
    <w:rsid w:val="00D72239"/>
    <w:rsid w:val="00DB407B"/>
    <w:rsid w:val="00DD3AB4"/>
    <w:rsid w:val="00DE4422"/>
    <w:rsid w:val="00E44BCB"/>
    <w:rsid w:val="00E62CA4"/>
    <w:rsid w:val="00ED2FD6"/>
    <w:rsid w:val="00EE5B5F"/>
    <w:rsid w:val="00F40F8F"/>
    <w:rsid w:val="00F52CF6"/>
    <w:rsid w:val="00FB007D"/>
    <w:rsid w:val="00FD1C4A"/>
    <w:rsid w:val="00FD338E"/>
    <w:rsid w:val="00FD55EA"/>
    <w:rsid w:val="00FD5D2F"/>
    <w:rsid w:val="00FE52C4"/>
    <w:rsid w:val="00FF79A3"/>
    <w:rsid w:val="04EC43D4"/>
    <w:rsid w:val="07B11193"/>
    <w:rsid w:val="0AB82C4E"/>
    <w:rsid w:val="17773839"/>
    <w:rsid w:val="1A9123FA"/>
    <w:rsid w:val="1AB424FA"/>
    <w:rsid w:val="1D9D0012"/>
    <w:rsid w:val="1F745591"/>
    <w:rsid w:val="202173FB"/>
    <w:rsid w:val="229D66FB"/>
    <w:rsid w:val="27172656"/>
    <w:rsid w:val="36956196"/>
    <w:rsid w:val="3B2F4EED"/>
    <w:rsid w:val="3B8B2449"/>
    <w:rsid w:val="3E204FAB"/>
    <w:rsid w:val="3F85529E"/>
    <w:rsid w:val="45FA3821"/>
    <w:rsid w:val="46B24A43"/>
    <w:rsid w:val="4A7F308B"/>
    <w:rsid w:val="516E2DAB"/>
    <w:rsid w:val="51703BFA"/>
    <w:rsid w:val="53783FBE"/>
    <w:rsid w:val="57C06077"/>
    <w:rsid w:val="5D4E7570"/>
    <w:rsid w:val="64C21017"/>
    <w:rsid w:val="689E3128"/>
    <w:rsid w:val="6BC0049B"/>
    <w:rsid w:val="6DF807AC"/>
    <w:rsid w:val="6F286B78"/>
    <w:rsid w:val="72BA7AB4"/>
    <w:rsid w:val="72FA79BC"/>
    <w:rsid w:val="77200886"/>
    <w:rsid w:val="7A5062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link w:val="14"/>
    <w:qFormat/>
    <w:uiPriority w:val="99"/>
    <w:pPr>
      <w:keepNext/>
      <w:keepLines/>
      <w:spacing w:line="413" w:lineRule="auto"/>
      <w:outlineLvl w:val="2"/>
    </w:pPr>
    <w:rPr>
      <w:b/>
      <w:bCs/>
      <w:kern w:val="0"/>
      <w:sz w:val="32"/>
      <w:szCs w:val="32"/>
    </w:rPr>
  </w:style>
  <w:style w:type="paragraph" w:styleId="5">
    <w:name w:val="heading 4"/>
    <w:basedOn w:val="1"/>
    <w:next w:val="1"/>
    <w:link w:val="15"/>
    <w:qFormat/>
    <w:uiPriority w:val="99"/>
    <w:pPr>
      <w:keepNext/>
      <w:keepLines/>
      <w:spacing w:line="372" w:lineRule="auto"/>
      <w:outlineLvl w:val="3"/>
    </w:pPr>
    <w:rPr>
      <w:rFonts w:ascii="Cambria" w:hAnsi="Cambria"/>
      <w:b/>
      <w:bCs/>
      <w:kern w:val="0"/>
      <w:sz w:val="28"/>
      <w:szCs w:val="28"/>
    </w:rPr>
  </w:style>
  <w:style w:type="paragraph" w:styleId="6">
    <w:name w:val="heading 5"/>
    <w:basedOn w:val="1"/>
    <w:next w:val="1"/>
    <w:link w:val="16"/>
    <w:qFormat/>
    <w:uiPriority w:val="99"/>
    <w:pPr>
      <w:keepNext/>
      <w:keepLines/>
      <w:spacing w:line="372" w:lineRule="auto"/>
      <w:outlineLvl w:val="4"/>
    </w:pPr>
    <w:rPr>
      <w:b/>
      <w:bCs/>
      <w:kern w:val="0"/>
      <w:sz w:val="28"/>
      <w:szCs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locked/>
    <w:uiPriority w:val="0"/>
    <w:pPr>
      <w:spacing w:before="0" w:after="120" w:line="240" w:lineRule="auto"/>
      <w:ind w:left="420" w:leftChars="200" w:firstLine="420" w:firstLineChars="200"/>
    </w:pPr>
    <w:rPr>
      <w:rFonts w:ascii="Calibri" w:hAnsi="Calibri"/>
      <w:kern w:val="0"/>
      <w:sz w:val="20"/>
    </w:rPr>
  </w:style>
  <w:style w:type="paragraph" w:styleId="3">
    <w:name w:val="Body Text Indent"/>
    <w:basedOn w:val="1"/>
    <w:qFormat/>
    <w:locked/>
    <w:uiPriority w:val="0"/>
    <w:pPr>
      <w:spacing w:before="240" w:line="360" w:lineRule="auto"/>
      <w:ind w:firstLine="552" w:firstLineChars="263"/>
    </w:pPr>
    <w:rPr>
      <w:rFonts w:ascii="宋体" w:hAnsi="宋体"/>
      <w:szCs w:val="20"/>
    </w:rPr>
  </w:style>
  <w:style w:type="paragraph" w:styleId="7">
    <w:name w:val="Body Text"/>
    <w:basedOn w:val="1"/>
    <w:link w:val="17"/>
    <w:qFormat/>
    <w:uiPriority w:val="99"/>
    <w:pPr>
      <w:spacing w:after="120"/>
    </w:pPr>
    <w:rPr>
      <w:kern w:val="0"/>
      <w:sz w:val="20"/>
      <w:szCs w:val="20"/>
    </w:rPr>
  </w:style>
  <w:style w:type="paragraph" w:styleId="8">
    <w:name w:val="Plain Text"/>
    <w:basedOn w:val="1"/>
    <w:link w:val="18"/>
    <w:qFormat/>
    <w:uiPriority w:val="99"/>
    <w:rPr>
      <w:rFonts w:ascii="宋体" w:hAnsi="Courier New"/>
      <w:kern w:val="0"/>
      <w:szCs w:val="21"/>
    </w:rPr>
  </w:style>
  <w:style w:type="paragraph" w:styleId="9">
    <w:name w:val="Balloon Text"/>
    <w:basedOn w:val="1"/>
    <w:link w:val="21"/>
    <w:semiHidden/>
    <w:unhideWhenUsed/>
    <w:locked/>
    <w:uiPriority w:val="99"/>
    <w:rPr>
      <w:sz w:val="18"/>
      <w:szCs w:val="18"/>
    </w:rPr>
  </w:style>
  <w:style w:type="paragraph" w:styleId="10">
    <w:name w:val="footer"/>
    <w:basedOn w:val="1"/>
    <w:link w:val="19"/>
    <w:qFormat/>
    <w:uiPriority w:val="99"/>
    <w:pPr>
      <w:tabs>
        <w:tab w:val="center" w:pos="4153"/>
        <w:tab w:val="right" w:pos="8306"/>
      </w:tabs>
      <w:snapToGrid w:val="0"/>
      <w:jc w:val="left"/>
    </w:pPr>
    <w:rPr>
      <w:kern w:val="0"/>
      <w:sz w:val="18"/>
      <w:szCs w:val="18"/>
    </w:rPr>
  </w:style>
  <w:style w:type="paragraph" w:styleId="11">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character" w:customStyle="1" w:styleId="14">
    <w:name w:val="标题 3 字符"/>
    <w:basedOn w:val="13"/>
    <w:link w:val="4"/>
    <w:semiHidden/>
    <w:qFormat/>
    <w:locked/>
    <w:uiPriority w:val="99"/>
    <w:rPr>
      <w:rFonts w:cs="Times New Roman"/>
      <w:b/>
      <w:sz w:val="32"/>
    </w:rPr>
  </w:style>
  <w:style w:type="character" w:customStyle="1" w:styleId="15">
    <w:name w:val="标题 4 字符"/>
    <w:basedOn w:val="13"/>
    <w:link w:val="5"/>
    <w:semiHidden/>
    <w:qFormat/>
    <w:locked/>
    <w:uiPriority w:val="99"/>
    <w:rPr>
      <w:rFonts w:ascii="Cambria" w:hAnsi="Cambria" w:eastAsia="宋体" w:cs="Times New Roman"/>
      <w:b/>
      <w:sz w:val="28"/>
    </w:rPr>
  </w:style>
  <w:style w:type="character" w:customStyle="1" w:styleId="16">
    <w:name w:val="标题 5 字符"/>
    <w:basedOn w:val="13"/>
    <w:link w:val="6"/>
    <w:semiHidden/>
    <w:qFormat/>
    <w:locked/>
    <w:uiPriority w:val="99"/>
    <w:rPr>
      <w:rFonts w:cs="Times New Roman"/>
      <w:b/>
      <w:sz w:val="28"/>
    </w:rPr>
  </w:style>
  <w:style w:type="character" w:customStyle="1" w:styleId="17">
    <w:name w:val="正文文本 字符"/>
    <w:basedOn w:val="13"/>
    <w:link w:val="7"/>
    <w:semiHidden/>
    <w:qFormat/>
    <w:locked/>
    <w:uiPriority w:val="99"/>
    <w:rPr>
      <w:rFonts w:cs="Times New Roman"/>
    </w:rPr>
  </w:style>
  <w:style w:type="character" w:customStyle="1" w:styleId="18">
    <w:name w:val="纯文本 字符"/>
    <w:basedOn w:val="13"/>
    <w:link w:val="8"/>
    <w:semiHidden/>
    <w:qFormat/>
    <w:locked/>
    <w:uiPriority w:val="99"/>
    <w:rPr>
      <w:rFonts w:ascii="宋体" w:hAnsi="Courier New" w:cs="Times New Roman"/>
      <w:sz w:val="21"/>
    </w:rPr>
  </w:style>
  <w:style w:type="character" w:customStyle="1" w:styleId="19">
    <w:name w:val="页脚 字符"/>
    <w:basedOn w:val="13"/>
    <w:link w:val="10"/>
    <w:semiHidden/>
    <w:qFormat/>
    <w:locked/>
    <w:uiPriority w:val="99"/>
    <w:rPr>
      <w:rFonts w:cs="Times New Roman"/>
      <w:sz w:val="18"/>
    </w:rPr>
  </w:style>
  <w:style w:type="character" w:customStyle="1" w:styleId="20">
    <w:name w:val="页眉 字符"/>
    <w:basedOn w:val="13"/>
    <w:link w:val="11"/>
    <w:semiHidden/>
    <w:qFormat/>
    <w:locked/>
    <w:uiPriority w:val="99"/>
    <w:rPr>
      <w:rFonts w:cs="Times New Roman"/>
      <w:sz w:val="18"/>
    </w:rPr>
  </w:style>
  <w:style w:type="character" w:customStyle="1" w:styleId="21">
    <w:name w:val="批注框文本 字符"/>
    <w:basedOn w:val="13"/>
    <w:link w:val="9"/>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9</Pages>
  <Words>3102</Words>
  <Characters>3340</Characters>
  <Lines>26</Lines>
  <Paragraphs>7</Paragraphs>
  <TotalTime>46</TotalTime>
  <ScaleCrop>false</ScaleCrop>
  <LinksUpToDate>false</LinksUpToDate>
  <CharactersWithSpaces>3560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2024-02-29T01:07:00Z</dcterms:created>
  <dc:creator>dell</dc:creator>
  <cp:lastModifiedBy>Administrator</cp:lastModifiedBy>
  <cp:lastPrinted>2023-05-18T08:17:00Z</cp:lastPrinted>
  <dcterms:modified xsi:type="dcterms:W3CDTF">2025-01-15T09:17:08Z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91B450BBE036475AA66CF945D66F10C5_12</vt:lpwstr>
  </property>
  <property fmtid="{D5CDD505-2E9C-101B-9397-08002B2CF9AE}" pid="4" name="KSOTemplateDocerSaveRecord">
    <vt:lpwstr>eyJoZGlkIjoiYWI2MTc3ZjFiYjAwOTk2Y2MyMDhjYjUyNDYyYzVlZGYifQ==</vt:lpwstr>
  </property>
</Properties>
</file>