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服务内容及技术要求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、符合国家规定的工程技术质量标准和现行技术规范、规程要求，确保成果资料完整、真实准确、清晰有据。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15天完成本项目建设范围内地块及周边区域的地下管线探测，探测内容包括电力、给水、雨水、污水、中水、气动物流、燃气、电信、移动、联通、路灯、信号及保密（其中军用管线应与部队进行协调确认）等管线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预计工作量：管线探测面积约115902.35平㎡，地下管线探测长度约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km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具体以实际情况为准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出具测量报告及1:1000分幅图纸质版一式3份，电子版1份。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图纸需要标明管线走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流向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、连接关系、管材、管径、坐标、管内底标高等信息。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处理问题响应时间：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测量报告完成后</w:t>
      </w:r>
      <w:r>
        <w:rPr>
          <w:rFonts w:hint="eastAsia" w:ascii="仿宋" w:hAnsi="仿宋" w:eastAsia="仿宋" w:cs="仿宋"/>
          <w:sz w:val="32"/>
          <w:szCs w:val="32"/>
        </w:rPr>
        <w:t>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内，</w:t>
      </w:r>
      <w:r>
        <w:rPr>
          <w:rFonts w:hint="eastAsia" w:ascii="仿宋" w:hAnsi="仿宋" w:eastAsia="仿宋" w:cs="仿宋"/>
          <w:sz w:val="32"/>
          <w:szCs w:val="32"/>
        </w:rPr>
        <w:t>接到采购人处理问题通知后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小时内到达采购人指定现场。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若报价人逾期交付测量报告及相关图纸，每超过一天，应按合同总额的1%向甲方支付违约金。逾期天数超30天，甲方有权单方面解除合同，‌履约保证金不予退还并追究违约责任。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0D417"/>
    <w:multiLevelType w:val="singleLevel"/>
    <w:tmpl w:val="F870D4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12FC"/>
    <w:rsid w:val="3FF212FC"/>
    <w:rsid w:val="4C263231"/>
    <w:rsid w:val="7060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0</Lines>
  <Paragraphs>0</Paragraphs>
  <TotalTime>0</TotalTime>
  <ScaleCrop>false</ScaleCrop>
  <LinksUpToDate>false</LinksUpToDate>
  <CharactersWithSpaces>362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2024-08-05T08:57:00Z</dcterms:created>
  <dc:creator>沐听雪</dc:creator>
  <cp:lastModifiedBy>沐听雪</cp:lastModifiedBy>
  <dcterms:modified xsi:type="dcterms:W3CDTF">2024-08-07T01:05:01Z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14198BD702C448E3BB7E9B772B15DCE9</vt:lpwstr>
  </property>
</Properties>
</file>