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bookmarkStart w:id="0" w:name="_Toc18162"/>
      <w:bookmarkStart w:id="1" w:name="_Toc566"/>
      <w:r>
        <w:rPr>
          <w:rFonts w:hint="eastAsia"/>
          <w:color w:val="auto"/>
          <w:sz w:val="32"/>
          <w:szCs w:val="32"/>
          <w:highlight w:val="none"/>
        </w:rPr>
        <w:t>货物需求一览表</w:t>
      </w:r>
      <w:bookmarkEnd w:id="0"/>
      <w:bookmarkEnd w:id="1"/>
    </w:p>
    <w:p>
      <w:pPr>
        <w:adjustRightInd w:val="0"/>
        <w:spacing w:line="340" w:lineRule="exact"/>
        <w:rPr>
          <w:b/>
          <w:color w:val="auto"/>
          <w:highlight w:val="none"/>
        </w:rPr>
      </w:pPr>
      <w:bookmarkStart w:id="2" w:name="_Hlk58056859"/>
      <w:r>
        <w:rPr>
          <w:rFonts w:hint="eastAsia"/>
          <w:b/>
          <w:color w:val="auto"/>
          <w:highlight w:val="none"/>
        </w:rPr>
        <w:t>说明：</w:t>
      </w:r>
    </w:p>
    <w:bookmarkEnd w:id="2"/>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spacing w:line="320" w:lineRule="exact"/>
        <w:ind w:firstLine="426" w:firstLineChars="202"/>
        <w:jc w:val="left"/>
        <w:rPr>
          <w:rFonts w:hint="default" w:hAnsi="Times New Roman" w:eastAsia="宋体" w:cs="Calibri"/>
          <w:b/>
          <w:bCs w:val="0"/>
          <w:color w:val="auto"/>
          <w:highlight w:val="none"/>
          <w:lang w:val="en-US" w:eastAsia="zh-CN"/>
        </w:rPr>
      </w:pPr>
      <w:r>
        <w:rPr>
          <w:rFonts w:hint="eastAsia" w:hAnsi="Times New Roman" w:cs="Calibri"/>
          <w:b/>
          <w:bCs w:val="0"/>
          <w:color w:val="auto"/>
          <w:highlight w:val="none"/>
          <w:lang w:val="en-US" w:eastAsia="zh-CN"/>
        </w:rPr>
        <w:t>1分标   采购预算34.9万元</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679"/>
        <w:gridCol w:w="900"/>
        <w:gridCol w:w="1525"/>
        <w:gridCol w:w="4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3"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万元</w:t>
            </w:r>
            <w:r>
              <w:rPr>
                <w:rFonts w:hint="eastAsia" w:cs="宋体"/>
                <w:color w:val="auto"/>
                <w:sz w:val="21"/>
                <w:szCs w:val="21"/>
                <w:highlight w:val="none"/>
                <w:lang w:eastAsia="zh-CN"/>
              </w:rPr>
              <w:t>）</w:t>
            </w:r>
          </w:p>
        </w:tc>
        <w:tc>
          <w:tcPr>
            <w:tcW w:w="48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多道生理信号记录仪</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17</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一、主机</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▲1、模拟数据采集通道≥16个，模拟输出通道≥2个。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2、A/D模数转换率：≥16 bit。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3、最大采样率：≥400KHZ（≥40万点/秒）。</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4、主机系统可扩展到至少64通道。</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5、与各种放大器采用直接插拔方式连接，无需连接电缆，减少线路干扰。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6、最低采样率:≤ 2 samples/小时。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7、数字I/O口: ≥16双功能I/O口。</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8、精度:≤± 0.003%。</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9、通信接口类型:网口（ Ethernet）, 可联网工作，可远程控制。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二、数据采集分析软件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软件功能：显示通道≥200，可选择外触发或内触发，可进行数字滤波，可计算dp/dt，最大值，最小值，平均值，峰值，心率，斜率，微分，积分，指数运算，对数运算，傅利叶变换，面积，偏差，标准差，绝对值，三角函数，曲线平滑，直方图、数学计算、位移、自动峰值探测等。自由设定存储时刻，时间，重复次数可用EXCEL进行统计计算，可进行实时计算和离线计算，数据可存为多种格式：acqkonwledge图形、excel、Matlab、TXT等格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12、接入普通网络摄像头具有实验数据与实验过程音视频在同个软件采集功能，可以同步回放。</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13.血压分析：收缩压、舒张压、平均动脉压、脉压差、心率、恢复间期、峰值压力时间、dP/dt Max、dP/dt Min等。</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14.心电分析功能：校正的QT间期、心率、P波高度、PRQ间期 、QRS宽度、QT间期、R波高度、RR间期，ST间期、HRV分析：VLF, LF, HF, VHF、呼吸性窦性心律不齐、RMSSD、SDSD、pNN50。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 脑电各段频率（α 波、β 波、γ 波、δ 波、θ 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三．常用放大器的要求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（1）通用放大器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增益：至少满足50，200，1000，5000；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低通滤波：至少满足10Hz, 300Hz, 5000Hz；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高通滤波：DC, 0.05Hz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噪声：小于0.11μV</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（2）脑电放大器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放大倍数：至少满足5000, 10000, 20000, 50000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支持硬件滤波：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高通：0.005 Hz, 0.5 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低通：35 Hz, 100 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共模抑制比：110dB</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提供硬件档位：50或60Hz工频滤波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包含针式电极3条</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（3）胃肠电放大器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增益：至少满足500，1000，2000, 5000；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低通滤波：0.1Hz, 1Hz；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高通滤波：DC, 0.005Hz, 0.05Hz；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噪声：小于0.1μV；</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共模抑制比：110dB</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包含针式电极3条</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（4）心电放大器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放大倍数：至少满足500, 1000, 2000, 5000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支持硬件滤波：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高通：0.05 Hz, 1.0 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低通：35 Hz, 150 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共模抑制比：110dB</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提供硬件档位：50或60Hz工频滤波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包含针式电极3条</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（5）血压传感器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测量范围：-50mmHg到+300mmHg</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过压：-400mmHg到+4000mmHg</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动态响应：100HZ</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8小时漂移：1mmHg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血气分析仪</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11</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1.设备基本性能和要求：该设备应用于血气分析，可进行血气、电解质、代谢物等参数的同时测定，精准度高、稳定性好、检测快速、操作维护保养简单方便。</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2.可直接测定的参数包括以下9项：PH、PCO2、PO2、Hct、Na+、K+、Ca++、葡萄糖Glu、乳酸Lac。各参数可根据临床需求自定义灵活组合，在不需要进行某项测试的操作或某项测试发生故障时可关闭，不影响其它指标测定。</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3.计算参数包括以下21项：Ca++（7.4）、HCO3-、HCO3-std、TCO2、BE (ecf)、BE(B)、SaO2、THbc、A-aDO2、pAO2、paO2 /pAO2、RI、CaO2、CvO2、CcO2、a-vDO2、Qsp/Qt、P50；且能根据体温计算：PH、PCO2、PO2。</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4.测定参数可报告范围：PH：6.80 ~ 7.80、PCO2：5 ~ 115 mmHg、PO2：0 ~ 760 mmHg、Na+：100 ~ 200 mmol/L、K+：0.1 ~ 20.0 mmol/L、Ca++：0.10 ~ 5.00 mmol/L、Glu：0.27 ~ 27.8mmol/L,、Lac：0.2~ 15.0 mmol/L、Hct：15 ~ 65%。</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5.使用包含电极、进样针、管路、质控品、定标液、废液袋等在内的一体化分析包，无需更换或额外购置其它耗材；电极免保养，无需单独更换电极。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6.测试项目及测试量根据分析包的不同可进行选择，无需升级仪器；且能提供4项、7项及9项参数不同测试量的分析包。</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7.具有机内智能化质控系统：质控品集成在分析包内，以高频率主动进行实时、连续的质量控制，及时发现问题，自动识别错误并纠错，自动生成质控报告。</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8.消耗品（包括试剂包等）均可常温储存，无需冷藏。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9.一体化分析包出厂有效期≥180天，上机有效期≥21天。</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10.测试时间：吸入样本后≤100秒出结果。</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11.标本量≤150uL，标本类型可选择动脉血、静脉血、毛细血管血及其它液体。</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12.进样方式：自动吸样，避免手工注入样本失误而引起的浪费。进样区安装有LED照明灯，方便夜间进样操作，不影响病人休息。</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13.定标：全自动2点定标及手动定标，全自动进行液体、气体二种方式定标；定标时不消耗测试液，不影响测试人份数。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14.仪器自带数据存储功能，可存储≥20000组的病人及质控数据，方便查询，并带有标准CD刻录机，无限量地增加数据存储量。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15.仪器具有剩余人份数和分析包效期提示功能。</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16.配备无线网络，内置远程联网软件，直接通过IE浏览器即可对仪器进行远程控制：查看及打印病人结果、质控结果，查看仪器及分析包的状态，2点定标等。</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17.配备蓝牙条码枪，扫描快速精确，USB接口，可随时进行数据拷贝。</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18.全中文操作菜单，彩色触摸显示屏。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19.内置打印机，并可外接其它打印机。</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20.具有以下接口：打印端口，网络接口，RS232接口，条形码阅读器接口，可连接HIS/LIS系统。                                                                                           ▲21.如设备需配套试剂使用，试剂必须是开放非专机专用，且属于广西自治区卫生健康委和自治区医疗保障局审核并公布的广西壮族自治区公立医疗机构医用耗材阳光采购目录内或2012年度广西壮族自治区医疗卫生机构医用耗材及检验试剂集中采购目录内产品。                                                                                       配置清单（包含但不限于）：                                                                             1、全自动血气分析仪主机                1台                                            2、条形扫描器                          1台                                                      3、信息管理系统                        1套                                                                4、通讯线                              1条                                                                          5、不间断电源                          1台                                                            6、电源线                              1条                                                  7、品牌电脑（含显示器）                1套                                                        8、黑白激光打印机                      1台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手术显微镜</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1.具有基座稳定、大景深、长工作距离等特点，适合动物手术成像使用。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2.具有高分辨率，高清晰度和强立体感等特点，并且可连续变倍。光学系统左右光路分开，转向棱镜使物体成正像，符合人的生理习惯。</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采用高广角观察镜，整个视场平正，带眼镜的工作者不受任何限制。完美的流线型设计，造型美观大方，优良的光学系统和可靠地操作结构，使成像更清晰，操作更简单，带给您全新的感觉。适合用于动物手术，教学等。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4.具有放大功能，连续可调，最大纵向工作距离≥165mm。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▲5.电子成像摄像机≥3000万像素，直接可在设备的显示屏上成像。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6.高质量的光学系统镀有特殊膜层的光学部件。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7.符合人机工程学的结构设计，长时间使用不感疲劳操作方便舒适。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8.双侧光路分开，立体感强，成像清晰。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底座规格：长≥20cm，宽≥20cm，高≥3cm，具有一定重量，可很好支撑设备运作；具有圆形支撑架，长度≥35cm，宽≥2.5cm，可旋转角度：≥360°；具有支撑臂，长度≥40cm，上下配对式结构，配对后，工作距离≥20cm，分杆设计，分杆间隙≥4c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具有连接成像镜体结构，三体式设计，完整连接后可使镜体平行于支撑臂，并可以使镜体横向及纵向可旋转角度≥270°；支撑臂与镜体距离≥7cm；成像荧光灯任何时候与上侧观察镜距离都≥20cm，与下侧观察镜≤2.5c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11.目镜倍数:10X 高眼点广角平场，视场直径≥ф20mm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12.物镜倍数:0.7X-4.5X 物镜变倍比1：6.4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13.瞳距 53-78mm，视度调节±5 屈光度 45°倾斜 360°旋转。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14视场范围:32mm-4.4mm。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15.总放大倍数:3.5X-45X。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4</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双通道微量注射泵</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2台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0.9</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1.整机设计使用年限≥8年</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2.双通道为主机一体化设计，无需额外配件。每个通道具备独立电源开关，使用时更节能。</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3.注射精度≤±1.8%</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4.速率范围：0.01-2300ml/h, 最小步进0.01ml/h</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5.预置输液总量范围：0.01-9999.99ml</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6.快进流速范围：0.01-2300ml/h，具有自动和手动快进可选；</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7.可自动统计四种累计量：24h累计量、最近累计量、自定义时间段累计量、定时间隔累计量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8.支持注射器规格：2ml、3ml、5ml、10ml、20ml、30ml、50/60ml；</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9.注射器安装后，在推拉盒触碰到注射器活塞末端时，不松开捏柄时推杆也可自动感应制动，防止药液误推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10.无需额外工具或设备，可直接在注射泵上添加注射器品牌名称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11.7种注射模式：速度模式、时间模式、体重模式、梯度模式、序列模式、剂量时间模式、间断给药模式；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12.彩色显示屏</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13.全中文软件操作界面</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14.锁屏功能：支持自动锁屏，自动锁屏时间可调</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15.支持药物库，可储存≥5000种药物信息</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16.支持药物色彩标识，选择不同类型药物时对应的药物色彩标识自动显示在屏幕上，支持4种以上颜色</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17.报警时可通过示意图片直观提示报警信息</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18.在线动态压力监测，可实时显示当前压力数值；</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19.具备阻塞后自动重启输液功能，短暂性阻塞触发报警后，泵检测到阻塞压力缓解时，无需人为干预，泵自动重新启动输液</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20.电池工作时间≥6小时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5</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小动物喉镜</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0.4</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1.小动物喉镜，用于观察实验动物的喉部等结构，以进行肺部给药、经口气管插管等操作，适用于小鼠、大鼠、豚鼠，也可根据客户要求进行定制。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▲2.采用光纤 LED 照明系统，提供清晰明亮的光线，给观察喉部、会厌等结构的操作人员提供了更好的视野。前端为不锈钢的叶型尖端，可随时拆卸或更换。操作柄的形状符合人体工程学的原理，使操作更舒适方便。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3.外壳采用金属材质，坚固耐用，易清洗</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4.操作柄的形状符合人体工程学的原理，手握舒适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5.专为大小鼠口腔结构设计的特制叶片，解决了因口腔太小难以进行气管插管的难题</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6.具有大鼠叶片和小鼠叶片供选择</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▲7.叶片采用不锈钢材质，最大限度地减少腐蚀，确保耐用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8.包含：小鼠光纤叶片，大鼠光纤叶片，喉镜把柄，电池。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6</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动物体温维持仪</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1.9</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1.多功能温度控制，可选配相应的负载用于制冷，温度范围最大-200°C to +400°C，正常温度范围：室温-60℃。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2.分辨率≤±0.1℃</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3.精确度≤±0.5℃</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4.通过加热板对动物进行保温，可置于桌面或定位仪使用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▲5.配备动物温度反馈探头，可选择不同探头测量不同部位的温度，如肛温、皮肤、口腔、脑组织或其他组织</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6.温度显示：设置温度和工作温度</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▲7.特殊显示迹象：加热的时候红灯会亮，可调角度观察杆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7</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迷宫视频分析系统</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1.8</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监测和记录参数：观察时间，总路程，平均速度，上台时间（潜伏期），初始角，上台前路程，上台前平均速度，穿越平台的次数，上台情况的总结，运动轨迹图，四个象限逗留的时间和路程，中央逗留的时间和路程，四象限时间和路程百分比，周边逗留的时间和路程，四象限轨迹分色处理，台周边逗留的时间和路程等；</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2、配备大鼠水槽和小鼠水槽；</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3、小鼠水槽尺寸为：直径≥120cm，高≥45cm；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4、大鼠水槽尺寸为：直径≥160cm，高≥45cm；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5、水槽及支架采用ABS材料，结实耐用，便于移动；</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6、站台直径采用6-9cm，高度20-35cm可调；</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7、摄像头采用400-600线性PAL制式，离地面高度≥210cm；</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8、实验中恒定水温可控制在 22-26度；</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9、采用科研和计算机辅助教学CAI模式，能够记录原始的视频图像， 幵提供完整的实验数据库功能，作为研究的真实记录和今后进行教学演示的素材；</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10、采用开放式、模块化设计，系统可扩展性强，可外接其他的分析模块，轨迹点坐标序列数据和指标结果可导入到 Excel，便于用户在 Excel、 SPSS、 SAS 等分析统计软件中作进一步分析处理；</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11、配备专业的M视频分析软件一套，并且可免费升级。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809"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8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w:t>
            </w:r>
            <w:r>
              <w:rPr>
                <w:rFonts w:hint="eastAsia" w:cs="Arial"/>
                <w:b/>
                <w:bCs w:val="0"/>
                <w:color w:val="auto"/>
                <w:kern w:val="2"/>
                <w:sz w:val="21"/>
                <w:szCs w:val="21"/>
                <w:highlight w:val="none"/>
                <w:lang w:val="en-US" w:eastAsia="zh-CN" w:bidi="ar-SA"/>
              </w:rPr>
              <w:t>成交</w:t>
            </w:r>
            <w:r>
              <w:rPr>
                <w:rFonts w:hint="eastAsia" w:ascii="宋体" w:hAnsi="宋体" w:eastAsia="宋体" w:cs="Arial"/>
                <w:b/>
                <w:bCs w:val="0"/>
                <w:color w:val="auto"/>
                <w:kern w:val="2"/>
                <w:sz w:val="21"/>
                <w:szCs w:val="21"/>
                <w:highlight w:val="none"/>
                <w:lang w:val="en-US" w:eastAsia="zh-CN" w:bidi="ar-SA"/>
              </w:rPr>
              <w:t>公司负责向该产品接入医院的HIS系统，LIS系统，PA</w:t>
            </w:r>
            <w:r>
              <w:rPr>
                <w:rFonts w:hint="eastAsia" w:cs="Arial"/>
                <w:b/>
                <w:bCs w:val="0"/>
                <w:color w:val="auto"/>
                <w:kern w:val="2"/>
                <w:sz w:val="21"/>
                <w:szCs w:val="21"/>
                <w:highlight w:val="none"/>
                <w:lang w:val="en-US" w:eastAsia="zh-CN" w:bidi="ar-SA"/>
              </w:rPr>
              <w:t>S</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Calibri" w:cs="Calibri"/>
                <w:color w:val="auto"/>
                <w:szCs w:val="24"/>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p>
            <w:pPr>
              <w:pStyle w:val="2"/>
              <w:rPr>
                <w:rFonts w:hint="eastAsia" w:eastAsia="宋体"/>
                <w:color w:val="auto"/>
                <w:highlight w:val="none"/>
                <w:lang w:val="en-US" w:eastAsia="zh-CN"/>
              </w:rPr>
            </w:pPr>
            <w:r>
              <w:rPr>
                <w:rFonts w:hint="eastAsia" w:ascii="宋体" w:hAnsi="宋体" w:eastAsia="宋体" w:cs="Calibri"/>
                <w:color w:val="auto"/>
                <w:kern w:val="2"/>
                <w:sz w:val="21"/>
                <w:szCs w:val="24"/>
                <w:highlight w:val="none"/>
                <w:lang w:val="en-US" w:eastAsia="zh-CN" w:bidi="ar-SA"/>
              </w:rPr>
              <w:t>5、免费配合医院针对采购设备进行必要的网络升级及数据采集工作</w:t>
            </w:r>
          </w:p>
        </w:tc>
      </w:tr>
      <w:bookmarkEnd w:id="3"/>
    </w:tbl>
    <w:p>
      <w:pPr>
        <w:rPr>
          <w:rFonts w:hint="eastAsia"/>
          <w:b/>
          <w:bCs/>
          <w:color w:val="auto"/>
          <w:highlight w:val="none"/>
          <w:lang w:val="en-US" w:eastAsia="zh-CN"/>
        </w:rPr>
      </w:pPr>
      <w:r>
        <w:rPr>
          <w:rFonts w:hint="eastAsia"/>
          <w:b/>
          <w:bCs/>
          <w:color w:val="auto"/>
          <w:highlight w:val="none"/>
          <w:lang w:val="en-US" w:eastAsia="zh-CN"/>
        </w:rPr>
        <w:br w:type="page"/>
      </w:r>
    </w:p>
    <w:p>
      <w:pPr>
        <w:spacing w:line="320" w:lineRule="exact"/>
        <w:ind w:firstLine="426" w:firstLineChars="202"/>
        <w:jc w:val="left"/>
        <w:rPr>
          <w:rFonts w:hint="default" w:hAnsi="Times New Roman" w:eastAsia="宋体" w:cs="Calibri"/>
          <w:b/>
          <w:bCs w:val="0"/>
          <w:color w:val="auto"/>
          <w:highlight w:val="none"/>
          <w:lang w:val="en-US" w:eastAsia="zh-CN"/>
        </w:rPr>
      </w:pPr>
      <w:r>
        <w:rPr>
          <w:rFonts w:hint="eastAsia" w:hAnsi="Times New Roman" w:cs="Calibri"/>
          <w:b/>
          <w:bCs w:val="0"/>
          <w:color w:val="auto"/>
          <w:highlight w:val="none"/>
          <w:lang w:val="en-US" w:eastAsia="zh-CN"/>
        </w:rPr>
        <w:t>2分标   采购预算13.2万元</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679"/>
        <w:gridCol w:w="900"/>
        <w:gridCol w:w="1525"/>
        <w:gridCol w:w="4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万元</w:t>
            </w:r>
            <w:r>
              <w:rPr>
                <w:rFonts w:hint="eastAsia" w:cs="宋体"/>
                <w:color w:val="auto"/>
                <w:sz w:val="21"/>
                <w:szCs w:val="21"/>
                <w:highlight w:val="none"/>
                <w:lang w:eastAsia="zh-CN"/>
              </w:rPr>
              <w:t>）</w:t>
            </w:r>
          </w:p>
        </w:tc>
        <w:tc>
          <w:tcPr>
            <w:tcW w:w="48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高频胸壁振荡排痰仪</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4.4</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1.供电电源：100-240V~，50/60Hz</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2.振动频率：≤13Hz，控制精度±15%，调节步长1Hz，长按可以连续调节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3.振动压力：0-5kPa以内，1-10级可调，调节步长1级，长按可以连续调节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4.振动压力控制精度：输出值与设置值的误差不超过±0.2kPa</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5.定时时间：1-60分钟可调，调节步长1分钟，长按可以连续调节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6.人机交互界面：≥10寸操作界面，内嵌≥4寸单色高清LCD显示，中文导航式操作指引，多参数显示及可调（频率、压力、时间等）</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7.患者紧急停止保护：通过手持开关实现患者自主的紧急停止保护</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8.空气脉冲发生器：采用直流无刷电机和鼓风机，能量输出稳定，整机设计使用期限达10年</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9.背心设计：全胸充气背心采用倒V式设计，在确保患者有效咳嗽、咳痰时，避免对胃脘部的振荡；</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10.背心类型：背心式或胸带式气囊可选，耐用型或非耐用型可选，儿童型大中小号、标准型大中小号可选（具有检测报告）</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11.背心内衬：具有可拆卸内衬设计，满足单人单用，避免交叉感染</w:t>
            </w:r>
          </w:p>
          <w:p>
            <w:pPr>
              <w:pStyle w:val="7"/>
              <w:numPr>
                <w:ilvl w:val="0"/>
                <w:numId w:val="0"/>
              </w:num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12.信息存储：可选配4G内存卡存储仪器运行信息，方便日常治疗管理及科研工作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809"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8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w:t>
            </w:r>
            <w:r>
              <w:rPr>
                <w:rFonts w:hint="eastAsia" w:cs="Arial"/>
                <w:b/>
                <w:bCs w:val="0"/>
                <w:color w:val="auto"/>
                <w:kern w:val="2"/>
                <w:sz w:val="21"/>
                <w:szCs w:val="21"/>
                <w:highlight w:val="none"/>
                <w:lang w:val="en-US" w:eastAsia="zh-CN" w:bidi="ar-SA"/>
              </w:rPr>
              <w:t>成交</w:t>
            </w:r>
            <w:r>
              <w:rPr>
                <w:rFonts w:hint="eastAsia" w:ascii="宋体" w:hAnsi="宋体" w:eastAsia="宋体" w:cs="Arial"/>
                <w:b/>
                <w:bCs w:val="0"/>
                <w:color w:val="auto"/>
                <w:kern w:val="2"/>
                <w:sz w:val="21"/>
                <w:szCs w:val="21"/>
                <w:highlight w:val="none"/>
                <w:lang w:val="en-US" w:eastAsia="zh-CN" w:bidi="ar-SA"/>
              </w:rPr>
              <w:t>公司负责向该产品接入医院的HIS系统，LIS系统，PA</w:t>
            </w:r>
            <w:r>
              <w:rPr>
                <w:rFonts w:hint="eastAsia" w:cs="Arial"/>
                <w:b/>
                <w:bCs w:val="0"/>
                <w:color w:val="auto"/>
                <w:kern w:val="2"/>
                <w:sz w:val="21"/>
                <w:szCs w:val="21"/>
                <w:highlight w:val="none"/>
                <w:lang w:val="en-US" w:eastAsia="zh-CN" w:bidi="ar-SA"/>
              </w:rPr>
              <w:t>S</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Calibri" w:cs="Calibri"/>
                <w:color w:val="auto"/>
                <w:szCs w:val="24"/>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p>
            <w:pPr>
              <w:pStyle w:val="2"/>
              <w:rPr>
                <w:rFonts w:hint="eastAsia" w:eastAsia="宋体"/>
                <w:color w:val="auto"/>
                <w:highlight w:val="none"/>
                <w:lang w:val="en-US" w:eastAsia="zh-CN"/>
              </w:rPr>
            </w:pPr>
            <w:r>
              <w:rPr>
                <w:rFonts w:hint="eastAsia" w:ascii="宋体" w:hAnsi="宋体" w:eastAsia="宋体" w:cs="Calibri"/>
                <w:color w:val="auto"/>
                <w:kern w:val="2"/>
                <w:sz w:val="21"/>
                <w:szCs w:val="24"/>
                <w:highlight w:val="none"/>
                <w:lang w:val="en-US" w:eastAsia="zh-CN" w:bidi="ar-SA"/>
              </w:rPr>
              <w:t>5、免费配合医院针对采购设备进行必要的网络升级及数据采集工作</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70B3106E"/>
    <w:rsid w:val="70B3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2023-12-07T09:18:00Z</dcterms:created>
  <dc:creator>池塘</dc:creator>
  <cp:lastModifiedBy>池塘</cp:lastModifiedBy>
  <dcterms:modified xsi:type="dcterms:W3CDTF">2023-12-07T09:18:55Z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4D28A0F16B6D42F587A3ABBF20A3C614_11</vt:lpwstr>
  </property>
</Properties>
</file>