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outlineLvl w:val="0"/>
        <w:rPr>
          <w:color w:val="auto"/>
          <w:sz w:val="32"/>
          <w:szCs w:val="32"/>
          <w:highlight w:val="none"/>
        </w:rPr>
      </w:pPr>
      <w:bookmarkStart w:id="3" w:name="_GoBack"/>
      <w:bookmarkEnd w:id="3"/>
      <w:r>
        <w:rPr>
          <w:rFonts w:hint="eastAsia"/>
          <w:color w:val="auto"/>
          <w:sz w:val="32"/>
          <w:szCs w:val="32"/>
          <w:highlight w:val="none"/>
        </w:rPr>
        <w:t>货物需求一览表</w:t>
      </w:r>
    </w:p>
    <w:p>
      <w:pPr>
        <w:adjustRightInd w:val="0"/>
        <w:spacing w:line="340" w:lineRule="exact"/>
        <w:rPr>
          <w:b/>
          <w:color w:val="auto"/>
          <w:highlight w:val="none"/>
        </w:rPr>
      </w:pPr>
      <w:bookmarkStart w:id="0" w:name="_Hlk58056859"/>
      <w:r>
        <w:rPr>
          <w:rFonts w:hint="eastAsia"/>
          <w:b/>
          <w:color w:val="auto"/>
          <w:highlight w:val="none"/>
        </w:rPr>
        <w:t>说明：</w:t>
      </w:r>
    </w:p>
    <w:bookmarkEnd w:id="0"/>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号条款为一般性参数指标，负偏离达2项（含）以上的，竞标文件将被视为无效。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p>
      <w:pPr>
        <w:pStyle w:val="2"/>
        <w:rPr>
          <w:rFonts w:hint="default" w:eastAsia="宋体"/>
          <w:color w:val="auto"/>
          <w:highlight w:val="none"/>
          <w:lang w:val="en-US" w:eastAsia="zh-CN"/>
        </w:rPr>
      </w:pPr>
      <w:r>
        <w:rPr>
          <w:rFonts w:hint="eastAsia" w:hAnsi="Times New Roman" w:cs="Calibri"/>
          <w:bCs/>
          <w:color w:val="auto"/>
          <w:highlight w:val="none"/>
          <w:lang w:val="en-US" w:eastAsia="zh-CN"/>
        </w:rPr>
        <w:t>A分标</w:t>
      </w:r>
    </w:p>
    <w:tbl>
      <w:tblPr>
        <w:tblStyle w:val="4"/>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63"/>
        <w:gridCol w:w="860"/>
        <w:gridCol w:w="1419"/>
        <w:gridCol w:w="50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bookmarkStart w:id="1" w:name="_Hlk59224159"/>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采购预算单价（万元）</w:t>
            </w:r>
          </w:p>
        </w:tc>
        <w:tc>
          <w:tcPr>
            <w:tcW w:w="50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手术动力系统</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1套</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color w:val="auto"/>
                <w:sz w:val="21"/>
                <w:szCs w:val="21"/>
                <w:highlight w:val="none"/>
                <w:lang w:val="en-US" w:eastAsia="zh-CN"/>
              </w:rPr>
              <w:t>23</w:t>
            </w:r>
          </w:p>
        </w:tc>
        <w:tc>
          <w:tcPr>
            <w:tcW w:w="507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1、产品名称：手术动力系统。</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2、可调节设定输出转速，并能数码显示当前转速。</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3、可调节设定输出转速范围：2000～20000 r/min。</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▲4、设定转速与空载转速的允许误差应在±1%范围内。</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5、维持额定转速12000 r/min时，转矩不小于1.2 mNm。 </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6、堵转转矩不小于24 mNm。</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7、使用时噪声不大于50dB（A加权）。</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▲8、采用分离式手柄设计，方便手机进行单独消毒/灭菌。</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9、配备医用脚踏开关。</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10、具备脚踏单踩计数功能：使用时每次踩下脚踏开关启动，计数进行累加。</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▲11、具备智能取发计数功能：系统智能识别出每次毛囊钻取操作，实现自动计数累加。</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12、具备不剃发取发功能：系统以固定角度振荡往复旋转，旋转角度设定范围：90～720°，调节步进为90°。</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▲13、完全独立的双系统：系统具有相互独立的主系统和副系统，副系统的供电、控制、界面等完全独立于主系统；主副双系统可同时工作运行。</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▲14、内置备用电源模块：系统内置备用电源模块，当外部供电中断时，系统自动无缝切换由内部备用电源供电，可供系统连续带载工作运行不少于12小时。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离心机</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r>
              <w:rPr>
                <w:rFonts w:hint="eastAsia" w:cs="宋体"/>
                <w:b w:val="0"/>
                <w:bCs/>
                <w:color w:val="auto"/>
                <w:kern w:val="0"/>
                <w:sz w:val="21"/>
                <w:szCs w:val="21"/>
                <w:highlight w:val="none"/>
                <w:lang w:val="en-US" w:eastAsia="zh-CN"/>
              </w:rPr>
              <w:t>台</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4.6</w:t>
            </w:r>
          </w:p>
        </w:tc>
        <w:tc>
          <w:tcPr>
            <w:tcW w:w="5071" w:type="dxa"/>
            <w:tcBorders>
              <w:top w:val="single" w:color="auto" w:sz="4" w:space="0"/>
              <w:left w:val="single" w:color="auto" w:sz="4" w:space="0"/>
              <w:bottom w:val="single" w:color="auto" w:sz="4" w:space="0"/>
              <w:right w:val="single" w:color="auto" w:sz="4" w:space="0"/>
            </w:tcBorders>
            <w:vAlign w:val="center"/>
          </w:tcPr>
          <w:p>
            <w:pPr>
              <w:pStyle w:val="2"/>
              <w:rPr>
                <w:rFonts w:hint="eastAsia"/>
                <w:color w:val="auto"/>
                <w:highlight w:val="none"/>
                <w:lang w:eastAsia="zh-CN"/>
              </w:rPr>
            </w:pPr>
            <w:r>
              <w:rPr>
                <w:rFonts w:hint="eastAsia"/>
                <w:color w:val="auto"/>
                <w:highlight w:val="none"/>
                <w:lang w:eastAsia="zh-CN"/>
              </w:rPr>
              <w:t>1、 台式结构 ；</w:t>
            </w:r>
          </w:p>
          <w:p>
            <w:pPr>
              <w:pStyle w:val="2"/>
              <w:rPr>
                <w:rFonts w:hint="eastAsia"/>
                <w:color w:val="auto"/>
                <w:highlight w:val="none"/>
                <w:lang w:eastAsia="zh-CN"/>
              </w:rPr>
            </w:pPr>
            <w:r>
              <w:rPr>
                <w:rFonts w:hint="eastAsia"/>
                <w:color w:val="auto"/>
                <w:highlight w:val="none"/>
                <w:lang w:eastAsia="zh-CN"/>
              </w:rPr>
              <w:t>2、▲液晶屏同时显示：设定时间、剩余工作时间、设定转速、实际工作转速、设定离心力、实际工作离心力、转头编号、模式、加速档、减速档、门锁状态、运转状态、平衡状态；</w:t>
            </w:r>
          </w:p>
          <w:p>
            <w:pPr>
              <w:pStyle w:val="2"/>
              <w:rPr>
                <w:rFonts w:hint="eastAsia"/>
                <w:color w:val="auto"/>
                <w:highlight w:val="none"/>
                <w:lang w:eastAsia="zh-CN"/>
              </w:rPr>
            </w:pPr>
            <w:r>
              <w:rPr>
                <w:rFonts w:hint="eastAsia"/>
                <w:color w:val="auto"/>
                <w:highlight w:val="none"/>
                <w:lang w:eastAsia="zh-CN"/>
              </w:rPr>
              <w:t>3、内置脂肪干细胞胶工作程序；</w:t>
            </w:r>
          </w:p>
          <w:p>
            <w:pPr>
              <w:pStyle w:val="2"/>
              <w:rPr>
                <w:rFonts w:hint="eastAsia"/>
                <w:color w:val="auto"/>
                <w:highlight w:val="none"/>
                <w:lang w:eastAsia="zh-CN"/>
              </w:rPr>
            </w:pPr>
            <w:r>
              <w:rPr>
                <w:rFonts w:hint="eastAsia"/>
                <w:color w:val="auto"/>
                <w:highlight w:val="none"/>
                <w:lang w:eastAsia="zh-CN"/>
              </w:rPr>
              <w:t>4、RCF直接设定和显示，无需RCF/RPM换算；　　</w:t>
            </w:r>
          </w:p>
          <w:p>
            <w:pPr>
              <w:pStyle w:val="2"/>
              <w:rPr>
                <w:rFonts w:hint="eastAsia"/>
                <w:color w:val="auto"/>
                <w:highlight w:val="none"/>
                <w:lang w:eastAsia="zh-CN"/>
              </w:rPr>
            </w:pPr>
            <w:r>
              <w:rPr>
                <w:rFonts w:hint="eastAsia"/>
                <w:color w:val="auto"/>
                <w:highlight w:val="none"/>
                <w:lang w:eastAsia="zh-CN"/>
              </w:rPr>
              <w:t>5、整机全钢制结构，不锈钢离心腔,方便清洗消毒；</w:t>
            </w:r>
          </w:p>
          <w:p>
            <w:pPr>
              <w:pStyle w:val="2"/>
              <w:rPr>
                <w:rFonts w:hint="eastAsia"/>
                <w:color w:val="auto"/>
                <w:highlight w:val="none"/>
                <w:lang w:eastAsia="zh-CN"/>
              </w:rPr>
            </w:pPr>
            <w:r>
              <w:rPr>
                <w:rFonts w:hint="eastAsia"/>
                <w:color w:val="auto"/>
                <w:highlight w:val="none"/>
                <w:lang w:eastAsia="zh-CN"/>
              </w:rPr>
              <w:t>6、运行中可随时更改转速、时间、离心力等参数，无需停机；</w:t>
            </w:r>
          </w:p>
          <w:p>
            <w:pPr>
              <w:pStyle w:val="2"/>
              <w:rPr>
                <w:rFonts w:hint="eastAsia"/>
                <w:color w:val="auto"/>
                <w:highlight w:val="none"/>
                <w:lang w:eastAsia="zh-CN"/>
              </w:rPr>
            </w:pPr>
            <w:r>
              <w:rPr>
                <w:rFonts w:hint="eastAsia"/>
                <w:color w:val="auto"/>
                <w:highlight w:val="none"/>
                <w:lang w:eastAsia="zh-CN"/>
              </w:rPr>
              <w:t>7、自动平衡，无需配平 ；</w:t>
            </w:r>
          </w:p>
          <w:p>
            <w:pPr>
              <w:pStyle w:val="2"/>
              <w:rPr>
                <w:rFonts w:hint="eastAsia"/>
                <w:color w:val="auto"/>
                <w:highlight w:val="none"/>
                <w:lang w:eastAsia="zh-CN"/>
              </w:rPr>
            </w:pPr>
            <w:r>
              <w:rPr>
                <w:rFonts w:hint="eastAsia"/>
                <w:color w:val="auto"/>
                <w:highlight w:val="none"/>
                <w:lang w:eastAsia="zh-CN"/>
              </w:rPr>
              <w:t>8、▲配置：能够一次离心8支60ml/20ml注射器、8支10ml注射器，这3种配置都配，在一个机器上实现。以上配置可以高温高压消毒；</w:t>
            </w:r>
          </w:p>
          <w:p>
            <w:pPr>
              <w:pStyle w:val="2"/>
              <w:rPr>
                <w:rFonts w:hint="eastAsia"/>
                <w:color w:val="auto"/>
                <w:highlight w:val="none"/>
                <w:lang w:eastAsia="zh-CN"/>
              </w:rPr>
            </w:pPr>
            <w:r>
              <w:rPr>
                <w:rFonts w:hint="eastAsia"/>
                <w:color w:val="auto"/>
                <w:highlight w:val="none"/>
                <w:lang w:eastAsia="zh-CN"/>
              </w:rPr>
              <w:t>9、定时范围：1min～99h99min59s；</w:t>
            </w:r>
          </w:p>
          <w:p>
            <w:pPr>
              <w:pStyle w:val="2"/>
              <w:jc w:val="left"/>
              <w:rPr>
                <w:rFonts w:hint="eastAsia"/>
                <w:color w:val="auto"/>
                <w:highlight w:val="none"/>
                <w:lang w:eastAsia="zh-CN"/>
              </w:rPr>
            </w:pPr>
            <w:r>
              <w:rPr>
                <w:rFonts w:hint="eastAsia"/>
                <w:color w:val="auto"/>
                <w:highlight w:val="none"/>
                <w:lang w:val="en-US" w:eastAsia="zh-CN"/>
              </w:rPr>
              <w:t>10、电动安全门锁，双挂杆锁</w:t>
            </w:r>
          </w:p>
          <w:p>
            <w:pPr>
              <w:pStyle w:val="2"/>
              <w:rPr>
                <w:rFonts w:hint="eastAsia"/>
                <w:color w:val="auto"/>
                <w:highlight w:val="none"/>
                <w:lang w:eastAsia="zh-CN"/>
              </w:rPr>
            </w:pPr>
            <w:r>
              <w:rPr>
                <w:rFonts w:hint="eastAsia"/>
                <w:color w:val="auto"/>
                <w:highlight w:val="none"/>
                <w:lang w:eastAsia="zh-CN"/>
              </w:rPr>
              <w:t>11、交流变频电机、转速精度＜10转/分，噪音＜55分贝、最高转速能达到4200转，在4200转以下任何转速都可以设定</w:t>
            </w:r>
          </w:p>
          <w:p>
            <w:pPr>
              <w:pStyle w:val="2"/>
              <w:rPr>
                <w:rFonts w:hint="eastAsia"/>
                <w:color w:val="auto"/>
                <w:highlight w:val="none"/>
                <w:lang w:eastAsia="zh-CN"/>
              </w:rPr>
            </w:pPr>
            <w:r>
              <w:rPr>
                <w:rFonts w:hint="eastAsia"/>
                <w:color w:val="auto"/>
                <w:highlight w:val="none"/>
                <w:lang w:eastAsia="zh-CN"/>
              </w:rPr>
              <w:t>12、故障自动诊断；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、竞标人应明确承诺：按国家有关产品“三包”规定执行“三包”，货物验收合格后，自安装验收合格之日起质保期主机质保期≥</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年。质保期内非人为损坏免费更换所有故障零配件，并免费提供硬件的安全性改版升级和技术支持，确保设备正常运行。</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2、质保期所更换的零配件必须是原厂全新的零配件，满足设备运行要求。</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自签订合同之日起30天内交货并安装调试完毕。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071"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中标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507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1、免费送货上门、安装调试，免费培训，安装完成后成交供应商负责清理产生的木箱等垃圾；</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2、竞标人应提出可行的售后服务承诺书；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3、按厂家承诺实行“三包”；</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4、竞标报价包括货物的所有费用，包括采购、运输、安装、劳务、管理、利润、税金、保险、协调、培训、售后服务、配送产品以及所有的不定因素的风险等；</w:t>
            </w:r>
          </w:p>
          <w:p>
            <w:pPr>
              <w:pStyle w:val="3"/>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如医院有需求，中标公司负责向该产品接入医院的HIS系统，LIS系统，PACS系统的厂家支付接口技术服务费。单向费用8000元/台，双向费用16000元/台。</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、备件、技术及维修服务，培训要求及其它：</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（1）备件要求：竞标人或厂家应在用户当地或省会中心城市设置备件库，存入所有必须的备件，保证必要时可以及时供应；</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bookmarkStart w:id="2" w:name="_Hlk59224273"/>
            <w:r>
              <w:rPr>
                <w:rFonts w:hint="eastAsia" w:ascii="宋体" w:hAnsi="宋体" w:eastAsia="宋体" w:cs="宋体"/>
                <w:bCs/>
                <w:color w:val="auto"/>
                <w:sz w:val="21"/>
                <w:szCs w:val="21"/>
                <w:highlight w:val="none"/>
              </w:rPr>
              <w:t>质保期内设备发生故障时，现场响应时间</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小时以内，维修响应时间小于</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小时，工程师到场时间小于</w:t>
            </w:r>
            <w:r>
              <w:rPr>
                <w:rFonts w:hint="eastAsia" w:ascii="宋体" w:hAnsi="宋体" w:eastAsia="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小时，维修中所需要零配件供应最长时间不超过7天。特殊情况无法到达须提前与科室或设备主管科室沟通。如需更换配件，则小配件</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个工作日内更换完毕，大配件</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个工作日内更换完毕，当配件等待周期大于</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个工作日时，成交供应商应按照科室要求提供备用机。</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成交供应商保证向采购人提供的货物是全新、完整、未使用过的。</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2、竞标时提供竞标产品彩色图片或说明书。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tc>
      </w:tr>
      <w:bookmarkEnd w:id="1"/>
    </w:tbl>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F5F75"/>
    <w:multiLevelType w:val="singleLevel"/>
    <w:tmpl w:val="5CDF5F75"/>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11641976"/>
    <w:rsid w:val="11641976"/>
    <w:rsid w:val="685B36AD"/>
    <w:rsid w:val="6F8B5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cs="Times New Roman"/>
    </w:rPr>
  </w:style>
  <w:style w:type="paragraph" w:styleId="3">
    <w:name w:val="index 4"/>
    <w:basedOn w:val="1"/>
    <w:next w:val="1"/>
    <w:unhideWhenUsed/>
    <w:qFormat/>
    <w:uiPriority w:val="99"/>
    <w:rPr>
      <w:b/>
      <w:sz w:val="24"/>
      <w:lang w:val="zh-CN"/>
    </w:rPr>
  </w:style>
  <w:style w:type="paragraph" w:customStyle="1" w:styleId="6">
    <w:name w:val="大目录"/>
    <w:basedOn w:val="1"/>
    <w:qFormat/>
    <w:uiPriority w:val="0"/>
    <w:pPr>
      <w:spacing w:line="540" w:lineRule="exact"/>
      <w:jc w:val="center"/>
    </w:pPr>
    <w:rPr>
      <w:b/>
      <w:sz w:val="48"/>
      <w:szCs w:val="48"/>
    </w:rPr>
  </w:style>
  <w:style w:type="paragraph" w:styleId="7">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4512</Words>
  <Characters>4811</Characters>
  <Lines>0</Lines>
  <Paragraphs>0</Paragraphs>
  <TotalTime>0</TotalTime>
  <ScaleCrop>false</ScaleCrop>
  <LinksUpToDate>false</LinksUpToDate>
  <CharactersWithSpaces>4856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2023-04-03T01:11:00Z</dcterms:created>
  <dc:creator>Administrator</dc:creator>
  <cp:lastModifiedBy>Administrator</cp:lastModifiedBy>
  <dcterms:modified xsi:type="dcterms:W3CDTF">2023-04-14T01:09:56Z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2E87B740EE2A4D969BC67C57E84C5442_12</vt:lpwstr>
  </property>
</Properties>
</file>