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1"/>
        </w:numPr>
        <w:outlineLvl w:val="0"/>
        <w:rPr>
          <w:color w:val="auto"/>
          <w:sz w:val="32"/>
          <w:szCs w:val="32"/>
          <w:highlight w:val="none"/>
        </w:rPr>
      </w:pPr>
      <w:bookmarkStart w:id="0" w:name="_Toc32398"/>
      <w:bookmarkStart w:id="1" w:name="_Toc491091945"/>
      <w:r>
        <w:rPr>
          <w:rFonts w:hint="eastAsia"/>
          <w:color w:val="auto"/>
          <w:sz w:val="32"/>
          <w:szCs w:val="32"/>
          <w:highlight w:val="none"/>
        </w:rPr>
        <w:t>货物需求一览表</w:t>
      </w:r>
      <w:bookmarkEnd w:id="0"/>
      <w:bookmarkEnd w:id="1"/>
    </w:p>
    <w:p>
      <w:pPr>
        <w:adjustRightInd w:val="0"/>
        <w:spacing w:line="340" w:lineRule="exact"/>
        <w:rPr>
          <w:b/>
          <w:color w:val="auto"/>
          <w:highlight w:val="none"/>
        </w:rPr>
      </w:pPr>
      <w:bookmarkStart w:id="2" w:name="_Hlk58056859"/>
      <w:r>
        <w:rPr>
          <w:rFonts w:hint="eastAsia"/>
          <w:b/>
          <w:color w:val="auto"/>
          <w:highlight w:val="none"/>
        </w:rPr>
        <w:t>说明：</w:t>
      </w:r>
    </w:p>
    <w:bookmarkEnd w:id="2"/>
    <w:p>
      <w:pPr>
        <w:adjustRightInd w:val="0"/>
        <w:spacing w:line="340" w:lineRule="exact"/>
        <w:ind w:left="6" w:firstLine="431"/>
        <w:rPr>
          <w:rFonts w:hAnsi="Times New Roman"/>
          <w:color w:val="auto"/>
          <w:highlight w:val="none"/>
        </w:rPr>
      </w:pPr>
      <w:r>
        <w:rPr>
          <w:rFonts w:hint="eastAsia" w:hAnsi="Times New Roman"/>
          <w:color w:val="auto"/>
          <w:highlight w:val="none"/>
        </w:rPr>
        <w:t>1、本货物需求一览表中所列的品牌、型号仅起参考作用，竞标人可选用其他品牌、型号替代，但替代的品牌、型号在实质性要求和条件上要相当于或优于参考品牌、型号。</w:t>
      </w:r>
    </w:p>
    <w:p>
      <w:pPr>
        <w:adjustRightInd w:val="0"/>
        <w:spacing w:line="340" w:lineRule="exact"/>
        <w:ind w:left="6" w:firstLine="431"/>
        <w:rPr>
          <w:rFonts w:hAnsi="Times New Roman"/>
          <w:color w:val="auto"/>
          <w:highlight w:val="none"/>
        </w:rPr>
      </w:pPr>
      <w:r>
        <w:rPr>
          <w:rFonts w:hint="eastAsia" w:hAnsi="Times New Roman"/>
          <w:color w:val="auto"/>
          <w:highlight w:val="none"/>
        </w:rPr>
        <w:t>2、凡在“技术参数要求”中表述为“标配”或“标准配置”的设备，竞标人应按第五章“竞标文件格式”规定的格式在“竞标产品技术资料表”中将其参数详细列明。</w:t>
      </w:r>
    </w:p>
    <w:p>
      <w:pPr>
        <w:spacing w:line="360" w:lineRule="exact"/>
        <w:ind w:left="-10" w:leftChars="-5" w:right="2" w:rightChars="1" w:firstLine="422" w:firstLineChars="200"/>
        <w:rPr>
          <w:rFonts w:cs="Calibri"/>
          <w:b/>
          <w:color w:val="auto"/>
          <w:highlight w:val="none"/>
        </w:rPr>
      </w:pPr>
      <w:r>
        <w:rPr>
          <w:rFonts w:hint="eastAsia" w:cs="Calibri"/>
          <w:b/>
          <w:color w:val="auto"/>
          <w:highlight w:val="none"/>
        </w:rPr>
        <w:t>4、标注</w:t>
      </w:r>
      <w:r>
        <w:rPr>
          <w:rFonts w:hint="eastAsia" w:cs="宋体"/>
          <w:bCs/>
          <w:color w:val="auto"/>
          <w:highlight w:val="none"/>
        </w:rPr>
        <w:t>▲</w:t>
      </w:r>
      <w:r>
        <w:rPr>
          <w:rFonts w:hint="eastAsia" w:cs="Calibri"/>
          <w:b/>
          <w:bCs/>
          <w:color w:val="auto"/>
          <w:szCs w:val="24"/>
          <w:highlight w:val="none"/>
        </w:rPr>
        <w:t>号条款为实质性内容要求，竞标时必须满足，否则视为无效竞标。未标</w:t>
      </w:r>
      <w:r>
        <w:rPr>
          <w:rFonts w:hint="eastAsia" w:cs="宋体"/>
          <w:bCs/>
          <w:color w:val="auto"/>
          <w:highlight w:val="none"/>
        </w:rPr>
        <w:t>▲</w:t>
      </w:r>
      <w:r>
        <w:rPr>
          <w:rFonts w:hint="eastAsia" w:cs="Calibri"/>
          <w:b/>
          <w:bCs/>
          <w:color w:val="auto"/>
          <w:szCs w:val="24"/>
          <w:highlight w:val="none"/>
        </w:rPr>
        <w:t>号条款为一般性参数指标，负偏离达2项（含）以上的，竞标文件将被视为无效。</w:t>
      </w:r>
    </w:p>
    <w:p>
      <w:pPr>
        <w:spacing w:line="320" w:lineRule="exact"/>
        <w:ind w:firstLine="424" w:firstLineChars="202"/>
        <w:jc w:val="left"/>
        <w:rPr>
          <w:rFonts w:hAnsi="Times New Roman" w:cs="Calibri"/>
          <w:color w:val="auto"/>
          <w:highlight w:val="none"/>
        </w:rPr>
      </w:pPr>
      <w:r>
        <w:rPr>
          <w:rFonts w:hint="eastAsia" w:hAnsi="Times New Roman" w:cs="Calibri"/>
          <w:color w:val="auto"/>
          <w:highlight w:val="none"/>
        </w:rPr>
        <w:t>5、竞争性谈判文件中所要求提供的证明材料，如为英文文本的请同时提供中文译本。</w:t>
      </w:r>
    </w:p>
    <w:p>
      <w:pPr>
        <w:spacing w:line="320" w:lineRule="exact"/>
        <w:ind w:firstLine="424" w:firstLineChars="202"/>
        <w:jc w:val="left"/>
        <w:rPr>
          <w:rFonts w:hAnsi="Times New Roman" w:cs="Calibri"/>
          <w:bCs/>
          <w:color w:val="auto"/>
          <w:highlight w:val="none"/>
        </w:rPr>
      </w:pPr>
      <w:r>
        <w:rPr>
          <w:rFonts w:hint="eastAsia" w:hAnsi="Times New Roman" w:cs="Calibri"/>
          <w:bCs/>
          <w:color w:val="auto"/>
          <w:highlight w:val="none"/>
        </w:rPr>
        <w:t>6、竞标人所竞标货物如国家有强制性要求的应按国家规定执行，并提供相关证明材料。</w:t>
      </w:r>
    </w:p>
    <w:tbl>
      <w:tblPr>
        <w:tblStyle w:val="4"/>
        <w:tblW w:w="9443"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6"/>
        <w:gridCol w:w="651"/>
        <w:gridCol w:w="1313"/>
        <w:gridCol w:w="6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443" w:type="dxa"/>
            <w:gridSpan w:val="4"/>
            <w:tcBorders>
              <w:top w:val="single" w:color="auto" w:sz="4" w:space="0"/>
              <w:left w:val="single" w:color="auto" w:sz="4" w:space="0"/>
              <w:bottom w:val="single" w:color="auto" w:sz="4" w:space="0"/>
              <w:right w:val="single" w:color="auto" w:sz="4" w:space="0"/>
            </w:tcBorders>
          </w:tcPr>
          <w:p>
            <w:pPr>
              <w:snapToGrid w:val="0"/>
              <w:spacing w:line="360" w:lineRule="exact"/>
              <w:rPr>
                <w:rFonts w:cs="Times New Roman"/>
                <w:b/>
                <w:color w:val="auto"/>
                <w:highlight w:val="none"/>
              </w:rPr>
            </w:pPr>
            <w:bookmarkStart w:id="3" w:name="_Hlk59224159"/>
            <w:r>
              <w:rPr>
                <w:rFonts w:cs="Times New Roman"/>
                <w:b/>
                <w:color w:val="auto"/>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cs="Times New Roman"/>
                <w:color w:val="auto"/>
                <w:highlight w:val="none"/>
              </w:rPr>
            </w:pPr>
            <w:r>
              <w:rPr>
                <w:rFonts w:cs="Times New Roman"/>
                <w:color w:val="auto"/>
                <w:highlight w:val="none"/>
              </w:rPr>
              <w:t>采购内容</w:t>
            </w:r>
          </w:p>
        </w:tc>
        <w:tc>
          <w:tcPr>
            <w:tcW w:w="65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cs="Times New Roman"/>
                <w:color w:val="auto"/>
                <w:highlight w:val="none"/>
              </w:rPr>
            </w:pPr>
            <w:r>
              <w:rPr>
                <w:rFonts w:cs="Times New Roman"/>
                <w:color w:val="auto"/>
                <w:highlight w:val="none"/>
              </w:rPr>
              <w:t>数量</w:t>
            </w:r>
          </w:p>
        </w:tc>
        <w:tc>
          <w:tcPr>
            <w:tcW w:w="131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eastAsia="宋体" w:cs="Times New Roman"/>
                <w:color w:val="auto"/>
                <w:highlight w:val="none"/>
                <w:lang w:eastAsia="zh-CN"/>
              </w:rPr>
            </w:pPr>
            <w:r>
              <w:rPr>
                <w:rFonts w:hint="eastAsia" w:cs="Times New Roman"/>
                <w:color w:val="auto"/>
                <w:highlight w:val="none"/>
                <w:lang w:eastAsia="zh-CN"/>
              </w:rPr>
              <w:t>采购预算单价（元）</w:t>
            </w:r>
          </w:p>
        </w:tc>
        <w:tc>
          <w:tcPr>
            <w:tcW w:w="620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cs="Times New Roman"/>
                <w:color w:val="auto"/>
                <w:highlight w:val="none"/>
              </w:rPr>
            </w:pPr>
            <w:r>
              <w:rPr>
                <w:rFonts w:cs="Times New Roman"/>
                <w:color w:val="auto"/>
                <w:highlight w:val="none"/>
              </w:rPr>
              <w:t>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76" w:type="dxa"/>
            <w:tcBorders>
              <w:left w:val="single" w:color="auto" w:sz="4" w:space="0"/>
              <w:bottom w:val="single" w:color="auto" w:sz="4" w:space="0"/>
              <w:right w:val="single" w:color="auto" w:sz="4" w:space="0"/>
            </w:tcBorders>
            <w:vAlign w:val="center"/>
          </w:tcPr>
          <w:p>
            <w:pPr>
              <w:widowControl/>
              <w:jc w:val="center"/>
              <w:rPr>
                <w:rFonts w:hint="eastAsia" w:ascii="Calibri" w:hAnsi="Calibri" w:eastAsia="宋体" w:cs="Calibri"/>
                <w:color w:val="auto"/>
                <w:szCs w:val="24"/>
                <w:highlight w:val="none"/>
                <w:lang w:eastAsia="zh-CN"/>
              </w:rPr>
            </w:pPr>
            <w:r>
              <w:rPr>
                <w:rFonts w:hint="eastAsia" w:ascii="Calibri" w:hAnsi="Calibri" w:eastAsia="宋体" w:cs="Calibri"/>
                <w:color w:val="auto"/>
                <w:szCs w:val="24"/>
                <w:highlight w:val="none"/>
                <w:lang w:eastAsia="zh-CN"/>
              </w:rPr>
              <w:t>云终端系统</w:t>
            </w:r>
          </w:p>
        </w:tc>
        <w:tc>
          <w:tcPr>
            <w:tcW w:w="651" w:type="dxa"/>
            <w:tcBorders>
              <w:left w:val="single" w:color="auto" w:sz="4" w:space="0"/>
              <w:bottom w:val="single" w:color="auto" w:sz="4" w:space="0"/>
              <w:right w:val="single" w:color="auto" w:sz="4" w:space="0"/>
            </w:tcBorders>
            <w:vAlign w:val="center"/>
          </w:tcPr>
          <w:p>
            <w:pPr>
              <w:spacing w:line="400" w:lineRule="exact"/>
              <w:jc w:val="center"/>
              <w:rPr>
                <w:rFonts w:hint="default" w:eastAsia="宋体" w:cs="Times New Roman"/>
                <w:color w:val="auto"/>
                <w:kern w:val="0"/>
                <w:highlight w:val="none"/>
                <w:lang w:val="en-US" w:eastAsia="zh-CN"/>
              </w:rPr>
            </w:pPr>
            <w:r>
              <w:rPr>
                <w:rFonts w:hint="eastAsia" w:cs="Times New Roman"/>
                <w:color w:val="auto"/>
                <w:kern w:val="0"/>
                <w:highlight w:val="none"/>
                <w:lang w:val="en-US" w:eastAsia="zh-CN"/>
              </w:rPr>
              <w:t>50台</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Times New Roman"/>
                <w:color w:val="auto"/>
                <w:kern w:val="0"/>
                <w:highlight w:val="none"/>
                <w:lang w:val="en-US" w:eastAsia="zh-CN"/>
              </w:rPr>
            </w:pPr>
            <w:r>
              <w:rPr>
                <w:rFonts w:hint="eastAsia" w:cs="Times New Roman"/>
                <w:color w:val="auto"/>
                <w:kern w:val="0"/>
                <w:highlight w:val="none"/>
                <w:lang w:val="en-US" w:eastAsia="zh-CN"/>
              </w:rPr>
              <w:t>5300</w:t>
            </w:r>
          </w:p>
        </w:tc>
        <w:tc>
          <w:tcPr>
            <w:tcW w:w="6203" w:type="dxa"/>
            <w:tcBorders>
              <w:top w:val="single" w:color="auto" w:sz="4" w:space="0"/>
              <w:left w:val="single" w:color="auto" w:sz="4" w:space="0"/>
              <w:bottom w:val="single" w:color="auto" w:sz="4" w:space="0"/>
              <w:right w:val="single" w:color="auto" w:sz="4" w:space="0"/>
            </w:tcBorders>
            <w:vAlign w:val="center"/>
          </w:tcPr>
          <w:p>
            <w:pPr>
              <w:pStyle w:val="2"/>
            </w:pPr>
            <w:r>
              <w:rPr>
                <w:rFonts w:hint="eastAsia"/>
              </w:rPr>
              <w:t>1.</w:t>
            </w:r>
            <w:r>
              <w:t>▲</w:t>
            </w:r>
            <w:r>
              <w:rPr>
                <w:rFonts w:hint="eastAsia"/>
              </w:rPr>
              <w:t>软硬件一体化设备，内置虚拟化系统和软件，</w:t>
            </w:r>
            <w:r>
              <w:rPr>
                <w:rFonts w:hint="eastAsia"/>
                <w:b/>
                <w:bCs/>
              </w:rPr>
              <w:t>配置≥Intel第十代i5六核十二线程处理器（处理器主频≥2.9GHz，睿频≥4.0G Hz）；</w:t>
            </w:r>
            <w:r>
              <w:rPr>
                <w:rFonts w:hint="eastAsia"/>
              </w:rPr>
              <w:t>内存≥8GB，显卡≥Intel UHD 630；本地存储≥256 GB SSD；</w:t>
            </w:r>
          </w:p>
          <w:p>
            <w:pPr>
              <w:pStyle w:val="2"/>
            </w:pPr>
            <w:r>
              <w:rPr>
                <w:rFonts w:hint="eastAsia"/>
              </w:rPr>
              <w:t>2.▲USB接口≥8个（包含≥2个USB 3.0接口），≥1个千兆网口，≥1个VGA接口，≥1个HDMI接口，≥1对音频输入输出接口,配置≥1个内存扩展槽，支持用户自行扩展；</w:t>
            </w:r>
          </w:p>
          <w:p>
            <w:pPr>
              <w:pStyle w:val="2"/>
            </w:pPr>
            <w:r>
              <w:rPr>
                <w:rFonts w:hint="eastAsia"/>
              </w:rPr>
              <w:t>3.▲终端可支持多种登入模式，包含专用模式、多人使用模式、公用模式、离线模式，支持控制器远程关闭终端，以上功能需提供功能界面截图，并加盖厂商投标专用章或公章；</w:t>
            </w:r>
          </w:p>
          <w:p>
            <w:pPr>
              <w:pStyle w:val="2"/>
            </w:pPr>
            <w:r>
              <w:rPr>
                <w:rFonts w:hint="eastAsia"/>
              </w:rPr>
              <w:t>4.专用模式将用户与终端绑定，绑定用户可使用本地存储空间及个人云盘；系统C盘中在个人桌面、收藏夹、文档等路径中的数据会自动备份在个人数据D盘下，保障个人数据不丢失；</w:t>
            </w:r>
          </w:p>
          <w:p>
            <w:pPr>
              <w:pStyle w:val="2"/>
            </w:pPr>
            <w:r>
              <w:rPr>
                <w:rFonts w:hint="eastAsia"/>
              </w:rPr>
              <w:t>5.多人使用模式不绑定用户，该模式下云终端可自动从云主机下载公用镜像，且系统C盘为还原模式，即关机后自动还原至初始化状态。用户登入后不可使用本地存储空间，仅能使用个人云盘；</w:t>
            </w:r>
          </w:p>
          <w:p>
            <w:pPr>
              <w:pStyle w:val="2"/>
            </w:pPr>
            <w:r>
              <w:rPr>
                <w:rFonts w:hint="eastAsia"/>
              </w:rPr>
              <w:t>6.公共模式下，终端开机直接进入操作系统，无需输入用户名和密码认证；</w:t>
            </w:r>
          </w:p>
          <w:p>
            <w:pPr>
              <w:pStyle w:val="2"/>
            </w:pPr>
            <w:r>
              <w:rPr>
                <w:rFonts w:hint="eastAsia"/>
              </w:rPr>
              <w:t>7.▲支持完全离线模式，即在服务器连接中断时，依然可使用账号和密码登录终端虚拟机开展业务，保障业务连续性，以上功能需提供功能截图，并加盖厂商投标专用章或公章；</w:t>
            </w:r>
          </w:p>
          <w:p>
            <w:pPr>
              <w:pStyle w:val="2"/>
            </w:pPr>
            <w:r>
              <w:rPr>
                <w:rFonts w:hint="eastAsia"/>
              </w:rPr>
              <w:t>8.▲支持终端显卡透传，能够将终端物理显卡透传至虚拟机中，实现部分高显卡要求场景的支持，如3D软件或者游戏运行；</w:t>
            </w:r>
          </w:p>
          <w:p>
            <w:pPr>
              <w:pStyle w:val="2"/>
            </w:pPr>
            <w:r>
              <w:rPr>
                <w:rFonts w:hint="eastAsia"/>
              </w:rPr>
              <w:t>9.USB外设全兼容，如USB存储、USB打印设备、U key、扫描枪、读卡器；</w:t>
            </w:r>
          </w:p>
          <w:p>
            <w:pPr>
              <w:pStyle w:val="2"/>
            </w:pPr>
            <w:r>
              <w:rPr>
                <w:rFonts w:hint="eastAsia"/>
              </w:rPr>
              <w:t>10.支持镜像更新P2P下载，完成更新的镜像自动作为P2P种子为其它相同镜像提供更新服务。同时镜像更新支持断点续传技术，当更新暂停时，可利用该技术继续下载未完成的更新任务；</w:t>
            </w:r>
          </w:p>
          <w:p>
            <w:pPr>
              <w:pStyle w:val="2"/>
            </w:pPr>
            <w:r>
              <w:rPr>
                <w:rFonts w:hint="eastAsia"/>
              </w:rPr>
              <w:t>11.▲支持终端自身及虚拟桌面 IP 地址设置，为了便于管理，能够通过 web 管理端进行 IP 地址修改与维护，以上功能需提供功能截图，并加盖厂商投标专用章或公章；</w:t>
            </w:r>
          </w:p>
          <w:p>
            <w:pPr>
              <w:pStyle w:val="2"/>
              <w:ind w:firstLine="210" w:firstLineChars="100"/>
            </w:pPr>
            <w:r>
              <w:rPr>
                <w:rFonts w:hint="eastAsia"/>
              </w:rPr>
              <w:t>▲ 广西区域多雷雨天气，为防止因雷电影响而导致设备损坏，要求要求所投终端设备支持浪涌抗扰度网口共模±4KV、电源共模±4KV；</w:t>
            </w:r>
          </w:p>
          <w:p>
            <w:pPr>
              <w:pStyle w:val="2"/>
              <w:ind w:firstLine="420" w:firstLineChars="0"/>
              <w:rPr>
                <w:rFonts w:ascii="宋体" w:hAnsi="宋体" w:eastAsia="宋体" w:cs="Arial"/>
                <w:kern w:val="2"/>
                <w:sz w:val="21"/>
                <w:szCs w:val="20"/>
                <w:lang w:val="en-US" w:eastAsia="zh-CN" w:bidi="ar-SA"/>
              </w:rPr>
            </w:pPr>
            <w:r>
              <w:rPr>
                <w:rFonts w:hint="eastAsia"/>
              </w:rPr>
              <w:t>12.▲提供三年质保；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76" w:type="dxa"/>
            <w:tcBorders>
              <w:left w:val="single" w:color="auto" w:sz="4" w:space="0"/>
              <w:bottom w:val="single" w:color="auto" w:sz="4" w:space="0"/>
              <w:right w:val="single" w:color="auto" w:sz="4" w:space="0"/>
            </w:tcBorders>
            <w:vAlign w:val="center"/>
          </w:tcPr>
          <w:p>
            <w:pPr>
              <w:widowControl/>
              <w:jc w:val="center"/>
              <w:rPr>
                <w:rFonts w:hint="eastAsia" w:ascii="Calibri" w:hAnsi="Calibri" w:eastAsia="宋体" w:cs="Calibri"/>
                <w:color w:val="auto"/>
                <w:szCs w:val="24"/>
                <w:highlight w:val="none"/>
                <w:lang w:eastAsia="zh-CN"/>
              </w:rPr>
            </w:pPr>
            <w:r>
              <w:rPr>
                <w:rFonts w:hint="eastAsia" w:ascii="Calibri" w:hAnsi="Calibri" w:eastAsia="宋体" w:cs="Calibri"/>
                <w:color w:val="auto"/>
                <w:szCs w:val="24"/>
                <w:highlight w:val="none"/>
                <w:lang w:eastAsia="zh-CN"/>
              </w:rPr>
              <w:t>显示器</w:t>
            </w:r>
          </w:p>
        </w:tc>
        <w:tc>
          <w:tcPr>
            <w:tcW w:w="651" w:type="dxa"/>
            <w:tcBorders>
              <w:left w:val="single" w:color="auto" w:sz="4" w:space="0"/>
              <w:bottom w:val="single" w:color="auto" w:sz="4" w:space="0"/>
              <w:right w:val="single" w:color="auto" w:sz="4" w:space="0"/>
            </w:tcBorders>
            <w:vAlign w:val="center"/>
          </w:tcPr>
          <w:p>
            <w:pPr>
              <w:spacing w:line="400" w:lineRule="exact"/>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50台</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cs="Times New Roman"/>
                <w:color w:val="auto"/>
                <w:kern w:val="0"/>
                <w:highlight w:val="none"/>
                <w:lang w:val="en-US" w:eastAsia="zh-CN"/>
              </w:rPr>
            </w:pPr>
            <w:r>
              <w:rPr>
                <w:rFonts w:hint="eastAsia" w:cs="Times New Roman"/>
                <w:color w:val="auto"/>
                <w:kern w:val="0"/>
                <w:highlight w:val="none"/>
                <w:lang w:val="en-US" w:eastAsia="zh-CN"/>
              </w:rPr>
              <w:t>1000</w:t>
            </w:r>
          </w:p>
        </w:tc>
        <w:tc>
          <w:tcPr>
            <w:tcW w:w="6203"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eastAsia"/>
              </w:rPr>
            </w:pPr>
            <w:r>
              <w:rPr>
                <w:rFonts w:hint="eastAsia"/>
              </w:rPr>
              <w:t>1.▲配置≥23.8寸 WLED，分辨率≥1920×1080，≥1个VGA接口 ，≥1个HDMI接口；</w:t>
            </w:r>
          </w:p>
          <w:p>
            <w:pPr>
              <w:pStyle w:val="2"/>
              <w:ind w:left="0" w:leftChars="0" w:firstLine="0" w:firstLineChars="0"/>
              <w:rPr>
                <w:rFonts w:hint="eastAsia"/>
              </w:rPr>
            </w:pPr>
            <w:r>
              <w:rPr>
                <w:rFonts w:hint="eastAsia"/>
              </w:rPr>
              <w:t>2.▲硬件形态：为保障使用时的动态清晰度、色彩还原准确、可视角度等方面的体验，需采用IPS屏，水平及垂直可视角度≥178°，亮度≥250 cd/m²，对比度≥1,000:1。</w:t>
            </w:r>
          </w:p>
          <w:p>
            <w:pPr>
              <w:pStyle w:val="2"/>
              <w:ind w:left="0" w:leftChars="0" w:firstLine="0" w:firstLineChars="0"/>
              <w:rPr>
                <w:rFonts w:hint="eastAsia"/>
              </w:rPr>
            </w:pPr>
            <w:r>
              <w:rPr>
                <w:rFonts w:hint="eastAsia"/>
              </w:rPr>
              <w:t>3.▲为了保证产品质量，所投设备需要具备国家强制性CCC认证。</w:t>
            </w:r>
          </w:p>
          <w:p>
            <w:pPr>
              <w:pStyle w:val="2"/>
              <w:ind w:left="0" w:leftChars="0" w:firstLine="0" w:firstLineChars="0"/>
              <w:rPr>
                <w:rFonts w:hint="eastAsia"/>
              </w:rPr>
            </w:pPr>
            <w:r>
              <w:rPr>
                <w:rFonts w:hint="eastAsia"/>
              </w:rPr>
              <w:t xml:space="preserve">4.面板类型VA </w:t>
            </w:r>
          </w:p>
          <w:p>
            <w:pPr>
              <w:pStyle w:val="2"/>
              <w:rPr>
                <w:rFonts w:hint="eastAsia"/>
              </w:rPr>
            </w:pPr>
            <w:r>
              <w:rPr>
                <w:rFonts w:hint="eastAsia"/>
              </w:rPr>
              <w:t xml:space="preserve">动态对比度2000万:1 </w:t>
            </w:r>
          </w:p>
          <w:p>
            <w:pPr>
              <w:pStyle w:val="2"/>
              <w:rPr>
                <w:rFonts w:hint="eastAsia"/>
              </w:rPr>
            </w:pPr>
            <w:r>
              <w:rPr>
                <w:rFonts w:hint="eastAsia"/>
              </w:rPr>
              <w:t xml:space="preserve">静态对比度3000:1 </w:t>
            </w:r>
          </w:p>
          <w:p>
            <w:pPr>
              <w:pStyle w:val="2"/>
              <w:rPr>
                <w:rFonts w:hint="eastAsia"/>
              </w:rPr>
            </w:pPr>
            <w:r>
              <w:rPr>
                <w:rFonts w:hint="eastAsia"/>
              </w:rPr>
              <w:t xml:space="preserve">响应时间6ms </w:t>
            </w:r>
          </w:p>
          <w:p>
            <w:pPr>
              <w:pStyle w:val="2"/>
              <w:ind w:left="0" w:leftChars="0" w:firstLine="0" w:firstLineChars="0"/>
              <w:rPr>
                <w:rFonts w:hint="eastAsia"/>
              </w:rPr>
            </w:pPr>
            <w:r>
              <w:rPr>
                <w:rFonts w:hint="eastAsia"/>
              </w:rPr>
              <w:t xml:space="preserve">5.显示参数 </w:t>
            </w:r>
          </w:p>
          <w:p>
            <w:pPr>
              <w:pStyle w:val="2"/>
              <w:rPr>
                <w:rFonts w:hint="eastAsia"/>
              </w:rPr>
            </w:pPr>
            <w:r>
              <w:rPr>
                <w:rFonts w:hint="eastAsia"/>
              </w:rPr>
              <w:t xml:space="preserve">点距0.275mm </w:t>
            </w:r>
          </w:p>
          <w:p>
            <w:pPr>
              <w:pStyle w:val="2"/>
              <w:rPr>
                <w:rFonts w:hint="eastAsia"/>
              </w:rPr>
            </w:pPr>
            <w:r>
              <w:rPr>
                <w:rFonts w:hint="eastAsia"/>
              </w:rPr>
              <w:t xml:space="preserve">亮度250cd/㎡ </w:t>
            </w:r>
          </w:p>
          <w:p>
            <w:pPr>
              <w:pStyle w:val="2"/>
              <w:rPr>
                <w:rFonts w:hint="eastAsia"/>
              </w:rPr>
            </w:pPr>
            <w:r>
              <w:rPr>
                <w:rFonts w:hint="eastAsia"/>
              </w:rPr>
              <w:t xml:space="preserve">可视面积527.04×296.46mm </w:t>
            </w:r>
          </w:p>
          <w:p>
            <w:pPr>
              <w:pStyle w:val="2"/>
              <w:rPr>
                <w:rFonts w:hint="eastAsia"/>
              </w:rPr>
            </w:pPr>
            <w:r>
              <w:rPr>
                <w:rFonts w:hint="eastAsia"/>
              </w:rPr>
              <w:t xml:space="preserve">可视角度178/178° </w:t>
            </w:r>
          </w:p>
          <w:p>
            <w:pPr>
              <w:pStyle w:val="2"/>
              <w:rPr>
                <w:rFonts w:hint="eastAsia"/>
              </w:rPr>
            </w:pPr>
            <w:r>
              <w:rPr>
                <w:rFonts w:hint="eastAsia"/>
              </w:rPr>
              <w:t xml:space="preserve">显示颜色16.7M </w:t>
            </w:r>
          </w:p>
          <w:p>
            <w:pPr>
              <w:pStyle w:val="2"/>
              <w:rPr>
                <w:rFonts w:hint="eastAsia"/>
              </w:rPr>
            </w:pPr>
            <w:r>
              <w:rPr>
                <w:rFonts w:hint="eastAsia"/>
              </w:rPr>
              <w:t xml:space="preserve">扫描频率水平：30-85KHz，垂直：48-75Hz </w:t>
            </w:r>
          </w:p>
          <w:p>
            <w:pPr>
              <w:pStyle w:val="2"/>
              <w:rPr>
                <w:rFonts w:hint="eastAsia"/>
              </w:rPr>
            </w:pPr>
            <w:r>
              <w:rPr>
                <w:rFonts w:hint="eastAsia"/>
              </w:rPr>
              <w:t xml:space="preserve">刷新率75Hz </w:t>
            </w:r>
          </w:p>
          <w:p>
            <w:pPr>
              <w:pStyle w:val="2"/>
              <w:ind w:left="0" w:leftChars="0" w:firstLine="0" w:firstLineChars="0"/>
              <w:rPr>
                <w:rFonts w:hint="eastAsia"/>
              </w:rPr>
            </w:pPr>
            <w:r>
              <w:rPr>
                <w:rFonts w:hint="eastAsia"/>
              </w:rPr>
              <w:t xml:space="preserve">6.接口参数 </w:t>
            </w:r>
          </w:p>
          <w:p>
            <w:pPr>
              <w:pStyle w:val="2"/>
            </w:pPr>
            <w:r>
              <w:rPr>
                <w:rFonts w:hint="eastAsia"/>
              </w:rPr>
              <w:t xml:space="preserve">视频接口D-Sub（VGA），HDMI，音频输出 </w:t>
            </w:r>
          </w:p>
          <w:p>
            <w:pPr>
              <w:pStyle w:val="2"/>
              <w:ind w:left="0" w:leftChars="0" w:firstLine="0" w:firstLineChars="0"/>
              <w:rPr>
                <w:rFonts w:hint="eastAsia"/>
              </w:rPr>
            </w:pPr>
            <w:r>
              <w:rPr>
                <w:rFonts w:hint="eastAsia"/>
                <w:lang w:val="en-US" w:eastAsia="zh-CN"/>
              </w:rPr>
              <w:t>7</w:t>
            </w:r>
            <w:r>
              <w:rPr>
                <w:rFonts w:hint="eastAsia"/>
              </w:rPr>
              <w:t>.输入额定电压：100-240Vac，50+/-3Hz, 60+/-3Hz，工作电压范围：90-264Vac，50+/-3Hz, 60+/-3Hz。</w:t>
            </w:r>
          </w:p>
          <w:p>
            <w:pPr>
              <w:pStyle w:val="2"/>
              <w:ind w:left="0" w:leftChars="0" w:firstLine="0" w:firstLineChars="0"/>
              <w:rPr>
                <w:rFonts w:hint="eastAsia"/>
              </w:rPr>
            </w:pPr>
            <w:r>
              <w:rPr>
                <w:rFonts w:hint="eastAsia"/>
                <w:lang w:val="en-US" w:eastAsia="zh-CN"/>
              </w:rPr>
              <w:t>8</w:t>
            </w:r>
            <w:r>
              <w:rPr>
                <w:rFonts w:hint="eastAsia"/>
              </w:rPr>
              <w:t>.工作温度：-5℃～40℃</w:t>
            </w:r>
          </w:p>
          <w:p>
            <w:pPr>
              <w:pStyle w:val="2"/>
              <w:ind w:left="0" w:leftChars="0" w:firstLine="0" w:firstLineChars="0"/>
              <w:rPr>
                <w:rFonts w:hint="eastAsia"/>
              </w:rPr>
            </w:pPr>
            <w:r>
              <w:rPr>
                <w:rFonts w:hint="eastAsia"/>
                <w:lang w:val="en-US" w:eastAsia="zh-CN"/>
              </w:rPr>
              <w:t>9</w:t>
            </w:r>
            <w:r>
              <w:rPr>
                <w:rFonts w:hint="eastAsia"/>
              </w:rPr>
              <w:t>.工作湿度:10%～90%，无冷凝</w:t>
            </w:r>
          </w:p>
          <w:p>
            <w:pPr>
              <w:pStyle w:val="2"/>
              <w:ind w:left="0" w:leftChars="0" w:firstLine="0" w:firstLineChars="0"/>
              <w:rPr>
                <w:rFonts w:hint="eastAsia"/>
              </w:rPr>
            </w:pPr>
            <w:r>
              <w:rPr>
                <w:rFonts w:hint="eastAsia"/>
                <w:lang w:val="en-US" w:eastAsia="zh-CN"/>
              </w:rPr>
              <w:t>10</w:t>
            </w:r>
            <w:r>
              <w:rPr>
                <w:rFonts w:hint="eastAsia"/>
              </w:rPr>
              <w:t>.兼容系统：Windows 7/Windows10/UOS/麒麟OS/MAC/Rain ios。</w:t>
            </w:r>
          </w:p>
          <w:p>
            <w:pPr>
              <w:pStyle w:val="2"/>
              <w:ind w:left="0" w:leftChars="0" w:firstLine="0" w:firstLineChars="0"/>
              <w:rPr>
                <w:rFonts w:hint="eastAsia"/>
              </w:rPr>
            </w:pPr>
            <w:r>
              <w:rPr>
                <w:rFonts w:hint="eastAsia"/>
              </w:rPr>
              <w:t>1</w:t>
            </w:r>
            <w:r>
              <w:rPr>
                <w:rFonts w:hint="eastAsia"/>
                <w:lang w:val="en-US" w:eastAsia="zh-CN"/>
              </w:rPr>
              <w:t>1</w:t>
            </w:r>
            <w:r>
              <w:rPr>
                <w:rFonts w:hint="eastAsia"/>
              </w:rPr>
              <w:t>.雷击抗扰:L-N：±2.0kV，L-PE/N-PE： ±4.0kV，Class B判定。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76" w:type="dxa"/>
            <w:tcBorders>
              <w:left w:val="single" w:color="auto" w:sz="4" w:space="0"/>
              <w:bottom w:val="single" w:color="auto" w:sz="4" w:space="0"/>
              <w:right w:val="single" w:color="auto" w:sz="4" w:space="0"/>
            </w:tcBorders>
            <w:vAlign w:val="center"/>
          </w:tcPr>
          <w:p>
            <w:pPr>
              <w:widowControl/>
              <w:jc w:val="center"/>
              <w:rPr>
                <w:rFonts w:hint="eastAsia" w:ascii="Calibri" w:hAnsi="Calibri" w:eastAsia="宋体" w:cs="Calibri"/>
                <w:color w:val="auto"/>
                <w:szCs w:val="24"/>
                <w:highlight w:val="none"/>
                <w:lang w:eastAsia="zh-CN"/>
              </w:rPr>
            </w:pPr>
            <w:r>
              <w:rPr>
                <w:rFonts w:hint="eastAsia" w:ascii="Calibri" w:hAnsi="Calibri" w:eastAsia="宋体" w:cs="Calibri"/>
                <w:color w:val="auto"/>
                <w:szCs w:val="24"/>
                <w:highlight w:val="none"/>
                <w:lang w:eastAsia="zh-CN"/>
              </w:rPr>
              <w:t>键盘</w:t>
            </w:r>
          </w:p>
        </w:tc>
        <w:tc>
          <w:tcPr>
            <w:tcW w:w="651" w:type="dxa"/>
            <w:tcBorders>
              <w:left w:val="single" w:color="auto" w:sz="4" w:space="0"/>
              <w:bottom w:val="single" w:color="auto" w:sz="4" w:space="0"/>
              <w:right w:val="single" w:color="auto" w:sz="4" w:space="0"/>
            </w:tcBorders>
            <w:vAlign w:val="center"/>
          </w:tcPr>
          <w:p>
            <w:pPr>
              <w:spacing w:line="400" w:lineRule="exact"/>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50个</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Times New Roman"/>
                <w:color w:val="auto"/>
                <w:kern w:val="0"/>
                <w:highlight w:val="none"/>
                <w:lang w:val="en-US" w:eastAsia="zh-CN"/>
              </w:rPr>
            </w:pPr>
            <w:r>
              <w:rPr>
                <w:rFonts w:hint="eastAsia" w:ascii="宋体" w:hAnsi="宋体" w:eastAsia="宋体" w:cs="Times New Roman"/>
                <w:color w:val="auto"/>
                <w:kern w:val="0"/>
                <w:highlight w:val="none"/>
                <w:lang w:val="en-US" w:eastAsia="zh-CN"/>
              </w:rPr>
              <w:t>50</w:t>
            </w:r>
          </w:p>
        </w:tc>
        <w:tc>
          <w:tcPr>
            <w:tcW w:w="6203"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eastAsia"/>
              </w:rPr>
            </w:pPr>
            <w:r>
              <w:rPr>
                <w:rFonts w:hint="eastAsia"/>
              </w:rPr>
              <w:t>1.连接方式：有线</w:t>
            </w:r>
          </w:p>
          <w:p>
            <w:pPr>
              <w:pStyle w:val="2"/>
              <w:ind w:left="0" w:leftChars="0" w:firstLine="0" w:firstLineChars="0"/>
              <w:rPr>
                <w:rFonts w:hint="eastAsia"/>
              </w:rPr>
            </w:pPr>
            <w:r>
              <w:rPr>
                <w:rFonts w:hint="eastAsia"/>
              </w:rPr>
              <w:t>2.键盘接口：USB</w:t>
            </w:r>
          </w:p>
          <w:p>
            <w:pPr>
              <w:pStyle w:val="2"/>
              <w:ind w:left="0" w:leftChars="0" w:firstLine="0" w:firstLineChars="0"/>
              <w:rPr>
                <w:rFonts w:hint="eastAsia"/>
              </w:rPr>
            </w:pPr>
            <w:r>
              <w:rPr>
                <w:rFonts w:hint="eastAsia"/>
              </w:rPr>
              <w:t>3.键盘按键数：104键</w:t>
            </w:r>
          </w:p>
          <w:p>
            <w:pPr>
              <w:pStyle w:val="2"/>
              <w:ind w:left="0" w:leftChars="0" w:firstLine="0" w:firstLineChars="0"/>
              <w:rPr>
                <w:rFonts w:hint="eastAsia"/>
              </w:rPr>
            </w:pPr>
            <w:r>
              <w:rPr>
                <w:rFonts w:hint="eastAsia"/>
              </w:rPr>
              <w:t>▲4.按键技术：火山口架构</w:t>
            </w:r>
          </w:p>
          <w:p>
            <w:pPr>
              <w:pStyle w:val="2"/>
              <w:ind w:left="0" w:leftChars="0" w:firstLine="0" w:firstLineChars="0"/>
              <w:rPr>
                <w:rFonts w:hint="eastAsia"/>
              </w:rPr>
            </w:pPr>
            <w:r>
              <w:rPr>
                <w:rFonts w:hint="eastAsia"/>
              </w:rPr>
              <w:t>5.按键行程：中</w:t>
            </w:r>
          </w:p>
          <w:p>
            <w:pPr>
              <w:pStyle w:val="2"/>
              <w:ind w:left="0" w:leftChars="0" w:firstLine="0" w:firstLineChars="0"/>
              <w:rPr>
                <w:rFonts w:hint="eastAsia"/>
              </w:rPr>
            </w:pPr>
            <w:r>
              <w:rPr>
                <w:rFonts w:hint="eastAsia"/>
              </w:rPr>
              <w:t>6.多媒体功能键：支持，通过Fn+的组合按键功能实现</w:t>
            </w:r>
          </w:p>
          <w:p>
            <w:pPr>
              <w:pStyle w:val="2"/>
              <w:ind w:left="0" w:leftChars="0" w:firstLine="0" w:firstLineChars="0"/>
              <w:rPr>
                <w:rFonts w:hint="eastAsia"/>
              </w:rPr>
            </w:pPr>
            <w:r>
              <w:rPr>
                <w:rFonts w:hint="eastAsia"/>
              </w:rPr>
              <w:t>7.防水功能：普通防泼溅</w:t>
            </w:r>
          </w:p>
          <w:p>
            <w:pPr>
              <w:pStyle w:val="2"/>
              <w:ind w:left="0" w:leftChars="0" w:firstLine="0" w:firstLineChars="0"/>
              <w:rPr>
                <w:rFonts w:hint="eastAsia"/>
              </w:rPr>
            </w:pPr>
            <w:r>
              <w:rPr>
                <w:rFonts w:hint="eastAsia"/>
              </w:rPr>
              <w:t>8.人体工学：支持，键盘水滴字键</w:t>
            </w:r>
          </w:p>
          <w:p>
            <w:pPr>
              <w:pStyle w:val="2"/>
              <w:ind w:left="0" w:leftChars="0" w:firstLine="0" w:firstLineChars="0"/>
              <w:rPr>
                <w:rFonts w:hint="eastAsia"/>
              </w:rPr>
            </w:pPr>
            <w:r>
              <w:rPr>
                <w:rFonts w:hint="eastAsia"/>
              </w:rPr>
              <w:t>9.线长：1m以上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76" w:type="dxa"/>
            <w:tcBorders>
              <w:left w:val="single" w:color="auto" w:sz="4" w:space="0"/>
              <w:bottom w:val="single" w:color="auto" w:sz="4" w:space="0"/>
              <w:right w:val="single" w:color="auto" w:sz="4" w:space="0"/>
            </w:tcBorders>
            <w:vAlign w:val="center"/>
          </w:tcPr>
          <w:p>
            <w:pPr>
              <w:widowControl/>
              <w:jc w:val="center"/>
              <w:rPr>
                <w:rFonts w:hint="eastAsia" w:ascii="Calibri" w:hAnsi="Calibri" w:eastAsia="宋体" w:cs="Calibri"/>
                <w:color w:val="auto"/>
                <w:szCs w:val="24"/>
                <w:highlight w:val="none"/>
                <w:lang w:eastAsia="zh-CN"/>
              </w:rPr>
            </w:pPr>
            <w:r>
              <w:rPr>
                <w:rFonts w:hint="eastAsia" w:ascii="Calibri" w:hAnsi="Calibri" w:eastAsia="宋体" w:cs="Calibri"/>
                <w:color w:val="auto"/>
                <w:szCs w:val="24"/>
                <w:highlight w:val="none"/>
                <w:lang w:eastAsia="zh-CN"/>
              </w:rPr>
              <w:t>鼠标</w:t>
            </w:r>
          </w:p>
        </w:tc>
        <w:tc>
          <w:tcPr>
            <w:tcW w:w="651" w:type="dxa"/>
            <w:tcBorders>
              <w:left w:val="single" w:color="auto" w:sz="4" w:space="0"/>
              <w:bottom w:val="single" w:color="auto" w:sz="4" w:space="0"/>
              <w:right w:val="single" w:color="auto" w:sz="4" w:space="0"/>
            </w:tcBorders>
            <w:vAlign w:val="center"/>
          </w:tcPr>
          <w:p>
            <w:pPr>
              <w:spacing w:line="400" w:lineRule="exact"/>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50个</w:t>
            </w:r>
          </w:p>
        </w:tc>
        <w:tc>
          <w:tcPr>
            <w:tcW w:w="13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cs="Times New Roman"/>
                <w:color w:val="auto"/>
                <w:kern w:val="0"/>
                <w:highlight w:val="none"/>
                <w:lang w:val="en-US" w:eastAsia="zh-CN"/>
              </w:rPr>
            </w:pPr>
            <w:r>
              <w:rPr>
                <w:rFonts w:hint="eastAsia" w:cs="Times New Roman"/>
                <w:color w:val="auto"/>
                <w:kern w:val="0"/>
                <w:highlight w:val="none"/>
                <w:lang w:val="en-US" w:eastAsia="zh-CN"/>
              </w:rPr>
              <w:t>40</w:t>
            </w:r>
          </w:p>
        </w:tc>
        <w:tc>
          <w:tcPr>
            <w:tcW w:w="6203"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hint="eastAsia"/>
              </w:rPr>
            </w:pPr>
            <w:r>
              <w:rPr>
                <w:rFonts w:hint="eastAsia"/>
              </w:rPr>
              <w:t>1. 工作方式：光电（针光）</w:t>
            </w:r>
          </w:p>
          <w:p>
            <w:pPr>
              <w:pStyle w:val="2"/>
              <w:ind w:left="0" w:leftChars="0" w:firstLine="0" w:firstLineChars="0"/>
              <w:rPr>
                <w:rFonts w:hint="eastAsia"/>
              </w:rPr>
            </w:pPr>
            <w:r>
              <w:rPr>
                <w:rFonts w:hint="eastAsia"/>
              </w:rPr>
              <w:t>▲2. 鼠标分辨率：1000DPI</w:t>
            </w:r>
          </w:p>
          <w:p>
            <w:pPr>
              <w:pStyle w:val="2"/>
              <w:ind w:left="0" w:leftChars="0" w:firstLine="0" w:firstLineChars="0"/>
              <w:rPr>
                <w:rFonts w:hint="eastAsia"/>
              </w:rPr>
            </w:pPr>
            <w:r>
              <w:rPr>
                <w:rFonts w:hint="eastAsia"/>
              </w:rPr>
              <w:t>3. 鼠标接口：USB</w:t>
            </w:r>
          </w:p>
          <w:p>
            <w:pPr>
              <w:pStyle w:val="2"/>
              <w:ind w:left="0" w:leftChars="0" w:firstLine="0" w:firstLineChars="0"/>
              <w:rPr>
                <w:rFonts w:hint="eastAsia"/>
              </w:rPr>
            </w:pPr>
            <w:r>
              <w:rPr>
                <w:rFonts w:hint="eastAsia"/>
              </w:rPr>
              <w:t>4. 人体工学：鼠标对称设计</w:t>
            </w:r>
          </w:p>
          <w:p>
            <w:pPr>
              <w:pStyle w:val="2"/>
              <w:ind w:left="0" w:leftChars="0" w:firstLine="0" w:firstLineChars="0"/>
              <w:rPr>
                <w:rFonts w:hint="eastAsia"/>
              </w:rPr>
            </w:pPr>
            <w:r>
              <w:rPr>
                <w:rFonts w:hint="eastAsia"/>
              </w:rPr>
              <w:t>5. 按键数：3键</w:t>
            </w:r>
          </w:p>
          <w:p>
            <w:pPr>
              <w:pStyle w:val="2"/>
              <w:ind w:left="0" w:leftChars="0" w:firstLine="0" w:firstLineChars="0"/>
              <w:rPr>
                <w:rFonts w:hint="eastAsia"/>
              </w:rPr>
            </w:pPr>
            <w:r>
              <w:rPr>
                <w:rFonts w:hint="eastAsia"/>
              </w:rPr>
              <w:t>6. 滚轮方向：双向滚轮</w:t>
            </w:r>
          </w:p>
          <w:p>
            <w:pPr>
              <w:pStyle w:val="2"/>
              <w:ind w:left="0" w:leftChars="0" w:firstLine="0" w:firstLineChars="0"/>
              <w:rPr>
                <w:rFonts w:hint="eastAsia"/>
              </w:rPr>
            </w:pPr>
            <w:r>
              <w:rPr>
                <w:rFonts w:hint="eastAsia"/>
              </w:rPr>
              <w:t>7. 线长：1m以上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cs="Calibri"/>
                <w:b/>
                <w:color w:val="auto"/>
                <w:highlight w:val="none"/>
              </w:rPr>
            </w:pPr>
            <w:r>
              <w:rPr>
                <w:rFonts w:hint="eastAsia" w:cs="Calibri"/>
                <w:b/>
                <w:color w:val="auto"/>
                <w:highlight w:val="none"/>
              </w:rPr>
              <w:t>▲</w:t>
            </w:r>
            <w:r>
              <w:rPr>
                <w:rFonts w:hint="eastAsia"/>
                <w:color w:val="auto"/>
                <w:highlight w:val="none"/>
              </w:rPr>
              <w:t>二、商务要求表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bCs/>
                <w:color w:val="auto"/>
                <w:highlight w:val="none"/>
              </w:rPr>
            </w:pPr>
            <w:r>
              <w:rPr>
                <w:rFonts w:hint="eastAsia"/>
                <w:bCs/>
                <w:color w:val="auto"/>
                <w:highlight w:val="none"/>
              </w:rPr>
              <w:t>质保期</w:t>
            </w:r>
          </w:p>
        </w:tc>
        <w:tc>
          <w:tcPr>
            <w:tcW w:w="6203"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cs="Calibri"/>
                <w:color w:val="auto"/>
                <w:highlight w:val="none"/>
              </w:rPr>
              <w:t>1</w:t>
            </w:r>
            <w:r>
              <w:rPr>
                <w:rFonts w:hint="eastAsia"/>
                <w:bCs/>
                <w:color w:val="auto"/>
                <w:highlight w:val="none"/>
              </w:rPr>
              <w:t>、竞标人应明确承诺：货物验收合格后，自安装验收合格之日起质保期</w:t>
            </w:r>
            <w:r>
              <w:rPr>
                <w:rFonts w:hint="eastAsia"/>
                <w:bCs/>
                <w:color w:val="auto"/>
                <w:highlight w:val="none"/>
                <w:lang w:val="en-US" w:eastAsia="zh-CN"/>
              </w:rPr>
              <w:t>3</w:t>
            </w:r>
            <w:r>
              <w:rPr>
                <w:rFonts w:hint="eastAsia"/>
                <w:bCs/>
                <w:color w:val="auto"/>
                <w:highlight w:val="none"/>
              </w:rPr>
              <w:t>年。质保期内非人为损坏免费更换所有故障零配件，并免费提供硬件的安全性改版升级和技术支持，确保设备正常运行。</w:t>
            </w:r>
          </w:p>
          <w:p>
            <w:pPr>
              <w:spacing w:line="360" w:lineRule="exact"/>
              <w:ind w:right="97" w:rightChars="46"/>
              <w:jc w:val="left"/>
              <w:rPr>
                <w:bCs/>
                <w:color w:val="auto"/>
                <w:highlight w:val="none"/>
              </w:rPr>
            </w:pPr>
            <w:r>
              <w:rPr>
                <w:rFonts w:hint="eastAsia"/>
                <w:bCs/>
                <w:color w:val="auto"/>
                <w:highlight w:val="none"/>
              </w:rPr>
              <w:t>2、质保期所更换的零配件必须是原厂全新的零配件，满足设备运行要求。</w:t>
            </w:r>
          </w:p>
          <w:p>
            <w:pPr>
              <w:spacing w:line="360" w:lineRule="exact"/>
              <w:ind w:right="97" w:rightChars="46"/>
              <w:jc w:val="left"/>
              <w:rPr>
                <w:rFonts w:cs="Calibri"/>
                <w:color w:val="auto"/>
                <w:highlight w:val="none"/>
              </w:rPr>
            </w:pPr>
            <w:r>
              <w:rPr>
                <w:rFonts w:hint="eastAsia"/>
                <w:bCs/>
                <w:color w:val="auto"/>
                <w:highlight w:val="none"/>
              </w:rPr>
              <w:t>3、质量保证期承诺优于国家“三包”规定的，或优于采购文件规定的，按竞标人实际承诺执行。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bCs/>
                <w:color w:val="auto"/>
                <w:highlight w:val="none"/>
              </w:rPr>
            </w:pPr>
            <w:r>
              <w:rPr>
                <w:rFonts w:hint="eastAsia"/>
                <w:bCs/>
                <w:color w:val="auto"/>
                <w:highlight w:val="none"/>
              </w:rPr>
              <w:t>交货时间及地点</w:t>
            </w:r>
          </w:p>
        </w:tc>
        <w:tc>
          <w:tcPr>
            <w:tcW w:w="6203" w:type="dxa"/>
            <w:tcBorders>
              <w:top w:val="single" w:color="auto" w:sz="4" w:space="0"/>
              <w:left w:val="single" w:color="auto" w:sz="4" w:space="0"/>
              <w:bottom w:val="single" w:color="auto" w:sz="4" w:space="0"/>
              <w:right w:val="single" w:color="auto" w:sz="4" w:space="0"/>
            </w:tcBorders>
          </w:tcPr>
          <w:p>
            <w:pPr>
              <w:spacing w:line="360" w:lineRule="exact"/>
              <w:ind w:right="-107" w:rightChars="-51"/>
              <w:jc w:val="left"/>
              <w:rPr>
                <w:bCs/>
                <w:color w:val="auto"/>
                <w:highlight w:val="none"/>
              </w:rPr>
            </w:pPr>
            <w:r>
              <w:rPr>
                <w:rFonts w:hint="eastAsia"/>
                <w:bCs/>
                <w:color w:val="auto"/>
                <w:highlight w:val="none"/>
              </w:rPr>
              <w:t>自签订合同之日起30天内交货并安装调试完毕。</w:t>
            </w:r>
          </w:p>
          <w:p>
            <w:pPr>
              <w:spacing w:line="360" w:lineRule="exact"/>
              <w:ind w:right="-107" w:rightChars="-51"/>
              <w:jc w:val="left"/>
              <w:rPr>
                <w:bCs/>
                <w:color w:val="auto"/>
                <w:highlight w:val="none"/>
              </w:rPr>
            </w:pPr>
            <w:r>
              <w:rPr>
                <w:rFonts w:hint="eastAsia"/>
                <w:bCs/>
                <w:color w:val="auto"/>
                <w:highlight w:val="none"/>
              </w:rPr>
              <w:t>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cs="Calibri"/>
                <w:color w:val="auto"/>
                <w:highlight w:val="none"/>
              </w:rPr>
            </w:pPr>
            <w:r>
              <w:rPr>
                <w:rFonts w:hint="eastAsia" w:cs="Calibri"/>
                <w:color w:val="auto"/>
                <w:highlight w:val="none"/>
              </w:rPr>
              <w:t>付款方式</w:t>
            </w:r>
          </w:p>
        </w:tc>
        <w:tc>
          <w:tcPr>
            <w:tcW w:w="6203" w:type="dxa"/>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left"/>
              <w:rPr>
                <w:rFonts w:cs="Calibri"/>
                <w:color w:val="auto"/>
                <w:highlight w:val="none"/>
              </w:rPr>
            </w:pPr>
            <w:r>
              <w:rPr>
                <w:rFonts w:hint="eastAsia" w:cs="Calibri"/>
                <w:color w:val="auto"/>
                <w:highlight w:val="none"/>
              </w:rPr>
              <w:t>本项目无预付款，项目验收合格交付使用后30日内支付第一笔合同款的50%，第二笔合同款在验收合格交付使用6个月后的15个工作日内支付合同款的45%，第三笔剩余5%的合同款，在验收合格交付使用12个月后的15个工作日内支付（无息）。中标人在采购人付款前开具完税发票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right="97" w:rightChars="46"/>
              <w:jc w:val="center"/>
              <w:rPr>
                <w:rFonts w:hint="eastAsia"/>
                <w:bCs/>
                <w:color w:val="auto"/>
                <w:highlight w:val="none"/>
              </w:rPr>
            </w:pPr>
            <w:r>
              <w:rPr>
                <w:rFonts w:hint="eastAsia"/>
                <w:bCs/>
                <w:color w:val="auto"/>
                <w:highlight w:val="none"/>
              </w:rPr>
              <w:t>履约保证金</w:t>
            </w:r>
          </w:p>
        </w:tc>
        <w:tc>
          <w:tcPr>
            <w:tcW w:w="620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bCs/>
                <w:color w:val="auto"/>
                <w:highlight w:val="none"/>
              </w:rPr>
            </w:pPr>
            <w:r>
              <w:rPr>
                <w:rFonts w:hint="eastAsia" w:cs="Calibri"/>
                <w:color w:val="auto"/>
                <w:highlight w:val="none"/>
              </w:rPr>
              <w:t>1、</w:t>
            </w:r>
            <w:r>
              <w:rPr>
                <w:rFonts w:cs="Calibri"/>
                <w:color w:val="auto"/>
                <w:highlight w:val="none"/>
              </w:rPr>
              <w:t>履约保证金</w:t>
            </w:r>
            <w:r>
              <w:rPr>
                <w:rFonts w:hint="eastAsia" w:cs="Calibri"/>
                <w:color w:val="auto"/>
                <w:highlight w:val="none"/>
              </w:rPr>
              <w:t>为合同总</w:t>
            </w:r>
            <w:r>
              <w:rPr>
                <w:rFonts w:cs="Calibri"/>
                <w:color w:val="auto"/>
                <w:highlight w:val="none"/>
              </w:rPr>
              <w:t>金额：</w:t>
            </w:r>
            <w:r>
              <w:rPr>
                <w:rFonts w:hint="eastAsia" w:cs="Calibri"/>
                <w:color w:val="auto"/>
                <w:highlight w:val="none"/>
                <w:lang w:eastAsia="zh-CN"/>
              </w:rPr>
              <w:t>无</w:t>
            </w:r>
            <w:r>
              <w:rPr>
                <w:rFonts w:hint="eastAsia" w:cs="Calibri"/>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Calibri"/>
                <w:color w:val="auto"/>
                <w:highlight w:val="none"/>
              </w:rPr>
            </w:pPr>
            <w:r>
              <w:rPr>
                <w:rFonts w:hint="eastAsia" w:cs="Calibri"/>
                <w:color w:val="auto"/>
                <w:highlight w:val="none"/>
              </w:rPr>
              <w:t>售后服务要求</w:t>
            </w:r>
          </w:p>
        </w:tc>
        <w:tc>
          <w:tcPr>
            <w:tcW w:w="6203"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bCs/>
                <w:color w:val="auto"/>
                <w:highlight w:val="none"/>
              </w:rPr>
            </w:pPr>
            <w:r>
              <w:rPr>
                <w:rFonts w:hint="eastAsia"/>
                <w:bCs/>
                <w:color w:val="auto"/>
                <w:highlight w:val="none"/>
              </w:rPr>
              <w:t>1、免费送货上门、安装调试，免费培训，安装完成后成交供应商负责清理产生的木箱等垃圾；</w:t>
            </w:r>
          </w:p>
          <w:p>
            <w:pPr>
              <w:spacing w:line="360" w:lineRule="exact"/>
              <w:ind w:right="97" w:rightChars="46"/>
              <w:jc w:val="left"/>
              <w:rPr>
                <w:bCs/>
                <w:color w:val="auto"/>
                <w:highlight w:val="none"/>
              </w:rPr>
            </w:pPr>
            <w:r>
              <w:rPr>
                <w:rFonts w:hint="eastAsia"/>
                <w:bCs/>
                <w:color w:val="auto"/>
                <w:highlight w:val="none"/>
              </w:rPr>
              <w:t>2、竞标人应提出可行的售后服务承诺书；</w:t>
            </w:r>
          </w:p>
          <w:p>
            <w:pPr>
              <w:spacing w:line="360" w:lineRule="exact"/>
              <w:ind w:right="97" w:rightChars="46"/>
              <w:jc w:val="left"/>
              <w:rPr>
                <w:bCs/>
                <w:color w:val="auto"/>
                <w:highlight w:val="none"/>
              </w:rPr>
            </w:pPr>
            <w:r>
              <w:rPr>
                <w:rFonts w:hint="eastAsia"/>
                <w:bCs/>
                <w:color w:val="auto"/>
                <w:highlight w:val="none"/>
              </w:rPr>
              <w:t>3、按厂家承诺实行“三包”；</w:t>
            </w:r>
          </w:p>
          <w:p>
            <w:pPr>
              <w:spacing w:line="360" w:lineRule="exact"/>
              <w:ind w:right="97" w:rightChars="46"/>
              <w:jc w:val="left"/>
              <w:rPr>
                <w:rFonts w:hint="eastAsia"/>
                <w:bCs/>
                <w:color w:val="auto"/>
                <w:highlight w:val="none"/>
              </w:rPr>
            </w:pPr>
            <w:r>
              <w:rPr>
                <w:rFonts w:hint="eastAsia"/>
                <w:bCs/>
                <w:color w:val="auto"/>
                <w:highlight w:val="none"/>
              </w:rPr>
              <w:t>4、竞标报价包括货物的所有费用，包括采购、运输、安装、劳务、管理、利润、税金、保险、协调、培训、售后服务、配送产品以及所有的不定因素的风险等；</w:t>
            </w:r>
          </w:p>
          <w:p>
            <w:pPr>
              <w:pStyle w:val="3"/>
              <w:rPr>
                <w:rFonts w:hint="eastAsia" w:ascii="宋体" w:hAnsi="宋体" w:eastAsia="宋体" w:cs="Arial"/>
                <w:b w:val="0"/>
                <w:bCs/>
                <w:color w:val="auto"/>
                <w:kern w:val="2"/>
                <w:sz w:val="21"/>
                <w:szCs w:val="21"/>
                <w:highlight w:val="none"/>
                <w:lang w:val="en-US" w:eastAsia="zh-CN" w:bidi="ar-SA"/>
              </w:rPr>
            </w:pPr>
            <w:r>
              <w:rPr>
                <w:rFonts w:hint="eastAsia" w:ascii="宋体" w:hAnsi="宋体" w:eastAsia="宋体" w:cs="Arial"/>
                <w:b w:val="0"/>
                <w:bCs/>
                <w:color w:val="auto"/>
                <w:kern w:val="2"/>
                <w:sz w:val="21"/>
                <w:szCs w:val="21"/>
                <w:highlight w:val="none"/>
                <w:lang w:val="en-US" w:eastAsia="zh-CN" w:bidi="ar-SA"/>
              </w:rPr>
              <w:t>5、</w:t>
            </w:r>
            <w:r>
              <w:rPr>
                <w:rFonts w:hint="eastAsia" w:ascii="宋体" w:hAnsi="宋体" w:eastAsia="宋体" w:cs="Arial"/>
                <w:b/>
                <w:bCs w:val="0"/>
                <w:color w:val="auto"/>
                <w:kern w:val="2"/>
                <w:sz w:val="21"/>
                <w:szCs w:val="21"/>
                <w:highlight w:val="none"/>
                <w:lang w:val="en-US" w:eastAsia="zh-CN" w:bidi="ar-SA"/>
              </w:rPr>
              <w:t>如医院有需求，中标公司负责向该产品接入医院的HIS系统，LIS系统，PA</w:t>
            </w:r>
            <w:r>
              <w:rPr>
                <w:rFonts w:hint="eastAsia" w:cs="Arial"/>
                <w:b/>
                <w:bCs w:val="0"/>
                <w:color w:val="auto"/>
                <w:kern w:val="2"/>
                <w:sz w:val="21"/>
                <w:szCs w:val="21"/>
                <w:highlight w:val="none"/>
                <w:lang w:val="en-US" w:eastAsia="zh-CN" w:bidi="ar-SA"/>
              </w:rPr>
              <w:t>C</w:t>
            </w:r>
            <w:r>
              <w:rPr>
                <w:rFonts w:hint="eastAsia" w:ascii="宋体" w:hAnsi="宋体" w:eastAsia="宋体" w:cs="Arial"/>
                <w:b/>
                <w:bCs w:val="0"/>
                <w:color w:val="auto"/>
                <w:kern w:val="2"/>
                <w:sz w:val="21"/>
                <w:szCs w:val="21"/>
                <w:highlight w:val="none"/>
                <w:lang w:val="en-US" w:eastAsia="zh-CN" w:bidi="ar-SA"/>
              </w:rPr>
              <w:t>S系统的厂家支付接口技术服务费。单向费用8000元/台，双向费用16000元/台。</w:t>
            </w:r>
          </w:p>
          <w:p>
            <w:pPr>
              <w:spacing w:line="360" w:lineRule="exact"/>
              <w:ind w:right="97" w:rightChars="46"/>
              <w:jc w:val="left"/>
              <w:rPr>
                <w:bCs/>
                <w:color w:val="auto"/>
                <w:highlight w:val="none"/>
              </w:rPr>
            </w:pPr>
            <w:r>
              <w:rPr>
                <w:rFonts w:hint="eastAsia"/>
                <w:bCs/>
                <w:color w:val="auto"/>
                <w:highlight w:val="none"/>
                <w:lang w:val="en-US" w:eastAsia="zh-CN"/>
              </w:rPr>
              <w:t>6</w:t>
            </w:r>
            <w:r>
              <w:rPr>
                <w:rFonts w:hint="eastAsia"/>
                <w:bCs/>
                <w:color w:val="auto"/>
                <w:highlight w:val="none"/>
              </w:rPr>
              <w:t>、备件、技术及维修服务，培训要求及其它：</w:t>
            </w:r>
          </w:p>
          <w:p>
            <w:pPr>
              <w:spacing w:line="360" w:lineRule="exact"/>
              <w:ind w:right="97" w:rightChars="46"/>
              <w:jc w:val="left"/>
              <w:rPr>
                <w:bCs/>
                <w:color w:val="auto"/>
                <w:highlight w:val="none"/>
              </w:rPr>
            </w:pPr>
            <w:r>
              <w:rPr>
                <w:rFonts w:hint="eastAsia"/>
                <w:bCs/>
                <w:color w:val="auto"/>
                <w:highlight w:val="none"/>
              </w:rPr>
              <w:t>（1）备件要求：竞标人或厂家应在用户当地或省会中心城市设置备件库，存入所有必须的备件，保证必要时可以及时供应；</w:t>
            </w:r>
          </w:p>
          <w:p>
            <w:pPr>
              <w:spacing w:line="360" w:lineRule="exact"/>
              <w:ind w:right="97" w:rightChars="46"/>
              <w:jc w:val="left"/>
              <w:rPr>
                <w:bCs/>
                <w:color w:val="auto"/>
                <w:highlight w:val="none"/>
              </w:rPr>
            </w:pPr>
            <w:r>
              <w:rPr>
                <w:rFonts w:hint="eastAsia"/>
                <w:bCs/>
                <w:color w:val="auto"/>
                <w:highlight w:val="none"/>
              </w:rPr>
              <w:t>（2）技术及维修服务：在用户当地或省会中心城市，竞标人或厂家应配置多名工程技术人员，随时提供开箱验货、安装、调试或维修等服务；</w:t>
            </w:r>
          </w:p>
          <w:p>
            <w:pPr>
              <w:spacing w:line="360" w:lineRule="exact"/>
              <w:ind w:right="97" w:rightChars="46"/>
              <w:jc w:val="left"/>
              <w:rPr>
                <w:bCs/>
                <w:color w:val="auto"/>
                <w:highlight w:val="none"/>
              </w:rPr>
            </w:pPr>
            <w:r>
              <w:rPr>
                <w:rFonts w:hint="eastAsia"/>
                <w:bCs/>
                <w:color w:val="auto"/>
                <w:highlight w:val="none"/>
              </w:rPr>
              <w:t>（3）技术培训要求：在用户当地或省会中心城市，竞标人或厂家应配置专业技术人员提供现场技术培训，保证使用人员正常操作设备的各种功能；</w:t>
            </w:r>
          </w:p>
          <w:p>
            <w:pPr>
              <w:spacing w:line="360" w:lineRule="exact"/>
              <w:ind w:right="97" w:rightChars="46"/>
              <w:jc w:val="left"/>
              <w:rPr>
                <w:bCs/>
                <w:color w:val="auto"/>
                <w:highlight w:val="none"/>
              </w:rPr>
            </w:pPr>
            <w:r>
              <w:rPr>
                <w:rFonts w:hint="eastAsia"/>
                <w:bCs/>
                <w:color w:val="auto"/>
                <w:highlight w:val="none"/>
              </w:rPr>
              <w:t>（4）</w:t>
            </w:r>
            <w:bookmarkStart w:id="4" w:name="_Hlk59224273"/>
            <w:r>
              <w:rPr>
                <w:rFonts w:hint="eastAsia"/>
                <w:bCs/>
                <w:color w:val="auto"/>
                <w:highlight w:val="none"/>
              </w:rPr>
              <w:t>质保期内设备发生故障时，现场响应时间</w:t>
            </w:r>
            <w:r>
              <w:rPr>
                <w:rFonts w:hint="eastAsia"/>
                <w:bCs/>
                <w:color w:val="auto"/>
                <w:highlight w:val="none"/>
                <w:lang w:val="en-US" w:eastAsia="zh-CN"/>
              </w:rPr>
              <w:t>24</w:t>
            </w:r>
            <w:r>
              <w:rPr>
                <w:rFonts w:hint="eastAsia"/>
                <w:bCs/>
                <w:color w:val="auto"/>
                <w:highlight w:val="none"/>
              </w:rPr>
              <w:t>小时以内，维修响应时间小于</w:t>
            </w:r>
            <w:r>
              <w:rPr>
                <w:rFonts w:hint="eastAsia"/>
                <w:bCs/>
                <w:color w:val="auto"/>
                <w:highlight w:val="none"/>
                <w:lang w:val="en-US" w:eastAsia="zh-CN"/>
              </w:rPr>
              <w:t>24</w:t>
            </w:r>
            <w:r>
              <w:rPr>
                <w:rFonts w:hint="eastAsia"/>
                <w:bCs/>
                <w:color w:val="auto"/>
                <w:highlight w:val="none"/>
              </w:rPr>
              <w:t>小时，工程师到场时间小于</w:t>
            </w:r>
            <w:r>
              <w:rPr>
                <w:rFonts w:hint="eastAsia"/>
                <w:bCs/>
                <w:color w:val="auto"/>
                <w:highlight w:val="none"/>
                <w:lang w:val="en-US" w:eastAsia="zh-CN"/>
              </w:rPr>
              <w:t>36</w:t>
            </w:r>
            <w:r>
              <w:rPr>
                <w:rFonts w:hint="eastAsia"/>
                <w:bCs/>
                <w:color w:val="auto"/>
                <w:highlight w:val="none"/>
              </w:rPr>
              <w:t>小时，维修中所需要零配件供应最长时间不超过7天。特殊情况无法到达须提前与科室或设备主管科室沟通。如需更换配件，则小配件</w:t>
            </w:r>
            <w:r>
              <w:rPr>
                <w:rFonts w:hint="eastAsia"/>
                <w:bCs/>
                <w:color w:val="auto"/>
                <w:highlight w:val="none"/>
                <w:lang w:val="en-US" w:eastAsia="zh-CN"/>
              </w:rPr>
              <w:t>7</w:t>
            </w:r>
            <w:r>
              <w:rPr>
                <w:rFonts w:hint="eastAsia"/>
                <w:bCs/>
                <w:color w:val="auto"/>
                <w:highlight w:val="none"/>
              </w:rPr>
              <w:t>个工作日内更换完毕，大配件</w:t>
            </w:r>
            <w:r>
              <w:rPr>
                <w:rFonts w:hint="eastAsia"/>
                <w:bCs/>
                <w:color w:val="auto"/>
                <w:highlight w:val="none"/>
                <w:lang w:val="en-US" w:eastAsia="zh-CN"/>
              </w:rPr>
              <w:t>15</w:t>
            </w:r>
            <w:r>
              <w:rPr>
                <w:rFonts w:hint="eastAsia"/>
                <w:bCs/>
                <w:color w:val="auto"/>
                <w:highlight w:val="none"/>
              </w:rPr>
              <w:t>个工作日内更换完毕，当配件等待周期大于</w:t>
            </w:r>
            <w:r>
              <w:rPr>
                <w:rFonts w:hint="eastAsia"/>
                <w:bCs/>
                <w:color w:val="auto"/>
                <w:highlight w:val="none"/>
                <w:lang w:val="en-US" w:eastAsia="zh-CN"/>
              </w:rPr>
              <w:t>15</w:t>
            </w:r>
            <w:r>
              <w:rPr>
                <w:rFonts w:hint="eastAsia"/>
                <w:bCs/>
                <w:color w:val="auto"/>
                <w:highlight w:val="none"/>
              </w:rPr>
              <w:t>个工作日时，成交供应商应按照科室要求提供备用机。</w:t>
            </w:r>
            <w:bookmarkEnd w:id="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240"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cs="Calibri"/>
                <w:color w:val="auto"/>
                <w:highlight w:val="none"/>
              </w:rPr>
            </w:pPr>
            <w:r>
              <w:rPr>
                <w:rFonts w:hint="eastAsia" w:cs="Calibri"/>
                <w:color w:val="auto"/>
                <w:highlight w:val="none"/>
              </w:rPr>
              <w:t>其它要求</w:t>
            </w:r>
          </w:p>
        </w:tc>
        <w:tc>
          <w:tcPr>
            <w:tcW w:w="6203" w:type="dxa"/>
            <w:tcBorders>
              <w:top w:val="single" w:color="auto" w:sz="4" w:space="0"/>
              <w:left w:val="single" w:color="auto" w:sz="4" w:space="0"/>
              <w:bottom w:val="single" w:color="auto" w:sz="4" w:space="0"/>
              <w:right w:val="single" w:color="auto" w:sz="4" w:space="0"/>
            </w:tcBorders>
          </w:tcPr>
          <w:p>
            <w:pPr>
              <w:spacing w:line="360" w:lineRule="exact"/>
              <w:ind w:right="97" w:rightChars="46"/>
              <w:jc w:val="left"/>
              <w:rPr>
                <w:bCs/>
                <w:color w:val="auto"/>
                <w:highlight w:val="none"/>
              </w:rPr>
            </w:pPr>
            <w:r>
              <w:rPr>
                <w:rFonts w:hint="eastAsia" w:cs="Calibri"/>
                <w:color w:val="auto"/>
                <w:highlight w:val="none"/>
              </w:rPr>
              <w:t>1、</w:t>
            </w:r>
            <w:r>
              <w:rPr>
                <w:bCs/>
                <w:color w:val="auto"/>
                <w:highlight w:val="none"/>
              </w:rPr>
              <w:t>成交供应商保证向采购人提供的货物是全新、完整、未使用过的</w:t>
            </w:r>
            <w:r>
              <w:rPr>
                <w:rFonts w:hint="eastAsia"/>
                <w:bCs/>
                <w:color w:val="auto"/>
                <w:highlight w:val="none"/>
              </w:rPr>
              <w:t>。</w:t>
            </w:r>
          </w:p>
          <w:p>
            <w:pPr>
              <w:spacing w:line="360" w:lineRule="exact"/>
              <w:ind w:right="97" w:rightChars="46"/>
              <w:jc w:val="left"/>
              <w:rPr>
                <w:bCs/>
                <w:color w:val="auto"/>
                <w:highlight w:val="none"/>
              </w:rPr>
            </w:pPr>
            <w:r>
              <w:rPr>
                <w:rFonts w:hint="eastAsia"/>
                <w:bCs/>
                <w:color w:val="auto"/>
                <w:highlight w:val="none"/>
              </w:rPr>
              <w:t>2、竞标时提供竞标产品彩色图片或说明书。</w:t>
            </w:r>
          </w:p>
          <w:p>
            <w:pPr>
              <w:spacing w:line="360" w:lineRule="exact"/>
              <w:ind w:right="97" w:rightChars="46"/>
              <w:jc w:val="left"/>
              <w:rPr>
                <w:bCs/>
                <w:color w:val="auto"/>
                <w:highlight w:val="none"/>
              </w:rPr>
            </w:pPr>
            <w:r>
              <w:rPr>
                <w:rFonts w:hint="eastAsia"/>
                <w:color w:val="auto"/>
                <w:highlight w:val="none"/>
              </w:rPr>
              <w:t>3、</w:t>
            </w:r>
            <w:r>
              <w:rPr>
                <w:rFonts w:hint="eastAsia"/>
                <w:bCs/>
                <w:color w:val="auto"/>
                <w:highlight w:val="none"/>
              </w:rPr>
              <w:t>采购人设备主管科室对本合同质保服务内容进行全程对接和监督，并对服务情况进行客观记录，在每个合同年度期结束时，由设备主管科室根据合同约定的服务内容、响应情况、服务态度及过程记录。</w:t>
            </w:r>
          </w:p>
          <w:p>
            <w:pPr>
              <w:spacing w:line="360" w:lineRule="exact"/>
              <w:ind w:right="97" w:rightChars="46"/>
              <w:jc w:val="left"/>
              <w:rPr>
                <w:bCs/>
                <w:color w:val="auto"/>
                <w:highlight w:val="none"/>
              </w:rPr>
            </w:pPr>
            <w:r>
              <w:rPr>
                <w:rFonts w:cs="Calibri"/>
                <w:color w:val="auto"/>
                <w:szCs w:val="24"/>
                <w:highlight w:val="none"/>
              </w:rPr>
              <w:t>4</w:t>
            </w:r>
            <w:r>
              <w:rPr>
                <w:rFonts w:hint="eastAsia" w:cs="Calibri"/>
                <w:color w:val="auto"/>
                <w:szCs w:val="24"/>
                <w:highlight w:val="none"/>
              </w:rPr>
              <w:t>、采购人在货物交货验收阶段发现货物的技术参数指标达不到采购文件该货物技术参数</w:t>
            </w:r>
            <w:r>
              <w:rPr>
                <w:rFonts w:hint="eastAsia" w:ascii="Calibri" w:cs="Calibri"/>
                <w:color w:val="auto"/>
                <w:szCs w:val="24"/>
                <w:highlight w:val="none"/>
              </w:rPr>
              <w:t>要求的，属虚假应标行为，采购人将终止合同拒收货物，追究该成交单位违约责任，赔偿采购人因采购时间延长造成采购人经济等方面损失。</w:t>
            </w:r>
          </w:p>
        </w:tc>
      </w:tr>
      <w:bookmarkEnd w:id="3"/>
    </w:tbl>
    <w:p>
      <w:bookmarkStart w:id="5" w:name="_GoBack"/>
      <w:bookmarkEnd w:id="5"/>
    </w:p>
    <w:sectPr>
      <w:pgSz w:w="11906" w:h="16838"/>
      <w:pgMar w:top="1134" w:right="1418" w:bottom="1134" w:left="1418" w:header="709" w:footer="709" w:gutter="0"/>
      <w:pgNumType w:start="0"/>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F5F75"/>
    <w:multiLevelType w:val="singleLevel"/>
    <w:tmpl w:val="5CDF5F75"/>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N2VhZDA4ZjkxNTE5ZGQ3MTRhM2E4YTAzNGYyNTYifQ=="/>
  </w:docVars>
  <w:rsids>
    <w:rsidRoot w:val="4DC965D7"/>
    <w:rsid w:val="09053608"/>
    <w:rsid w:val="4DC96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index 4"/>
    <w:basedOn w:val="1"/>
    <w:next w:val="1"/>
    <w:unhideWhenUsed/>
    <w:qFormat/>
    <w:uiPriority w:val="99"/>
    <w:rPr>
      <w:b/>
      <w:sz w:val="24"/>
      <w:lang w:val="zh-CN"/>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2023-03-06T03:57:00Z</dcterms:created>
  <dc:creator>NTKO</dc:creator>
  <cp:lastModifiedBy>NTKO</cp:lastModifiedBy>
  <dcterms:modified xsi:type="dcterms:W3CDTF">2023-03-06T03:57:31Z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F564BB7960B84B7D8897974212FEA21D</vt:lpwstr>
  </property>
</Properties>
</file>